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Tomando en cuenta la condición jurídico-política de las Indias: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Indias dependían de la corona castellana.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2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Indias dependían de Castilla y Aragón.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2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Las Indias dependían de España.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2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Indias dependían de la corona de Cataluña.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Indias dependían de la corona castellana.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2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relación a la condición jurídico-política de las Indias los historiadores argumentan diferentes tesis: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br/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tesis de Levene propone que las Indias no eran colonias, por cuanto se trataba de territorios marginados por el estado español.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Una tesis  propone que las Indias no eran colonias sino reinos porque sus territorios tenían  autonomía política.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2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tesis de Levene expone que las Indias no eran colonias porque tenían órganos de gobierno independientes e iguales a los de Castilla.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tesis de Zorraquín Becú sostiene que eran departamentos de ultramar de España.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tesis de Levene expone que las Indias no eran colonias porque tenían órganos de gobierno independientes e iguales a los de Castilla.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3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¿En el Cabildo Abierto del 22 de Mayo quién manifestó 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que Buenos Aires no tenía por sí solo derecho alguno a decidir por todo el Virreinato?</w:t>
      </w: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Dr. Manuel Genaro Villota.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Obispo Benito Lué y Riega.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Baltasar Hidalgo de Cisneros.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3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Juan José Castelli.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Dr. Manuel Genaro Villota.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3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Cabildo Abierto del 22 de Mayo: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Tuvo las características de un concilio o una asamblea española de esa época.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Era un ejemplo de democracia popular de todas las clases sociales, menos los esclavos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Era un ejercicio de sufragio popular de todas las clases sociales, menos los esclavos.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Tuvo las características de una asamblea en la que se opinaba pero no se votaba.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Tuvo las características de un concilio o una asamblea española de esa época.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4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¿Cuáles son los Pactos Interprovinciales y Acuerdos considerados fuentes de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Los Pactos de Pilar y Cuadrilátero en cuanto antecedentes, y el Pacto Federal y el Acuerdo de San Nicolás en cuanto preexistentes.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circulares de Urquiza, por la renuncia de Rosas a la representación de las relaciones exteriores de la Confederación.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Pactos interprovinciales que suscribió Ramírez con la provincia de Córdoba.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4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Los acuerdos de Río Seco de 1831 y Caseros de 1852; y el Pacto Interprovincial Federal de 1832.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Los Pactos de Pilar y Cuadrilátero en cuanto antecedentes, y el Pacto Federal y el Acuerdo de San Nicolás en cuanto preexistentes.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4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 era el lugar de residencia de la Corte Suprema de Justicia de la Nación, establecido por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En la ciudad capital.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En la Ciudad de Rosario.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En la ciudad de Santa Fe.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En la ciudad de Paraná.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after="120"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Respuesta correcta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En la ciudad capital.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5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el reglamento del 24 de mayo aparecen los siguientes principios de la gesta revolucionaria: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Representación, responsabilidad, publicidad, periodicidad, división de poderes.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Representación, federación, independencia.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Representación, elección popular, división de poderes, periodicidad, publicidad, independencia.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5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Libertad, igualdad y fraternidad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Representación, responsabilidad, publicidad, periodicidad, división de poderes.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5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decidió la Legislatura de Buenos Aires al tratar el Acuerdo de San Nicolás de 1852?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Lo rechaza.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Lo aprueba.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Le realiza modificaciones.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Adhiere, pero con reservas.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Lo rechaza.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6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¿A qué se denomina 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"el pensamiento de Mayo",</w:t>
      </w: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 como fuente de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manifestaciones de los patriotas en el Cabildo del 22 de mayo, en el Reglamento del 24 y 25 de mayo y en las obras de Moreno, Castelli y Belgrano.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proyectos constitucionales de Gorostiaga, Vélez Sarsfield y Alberdi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pensamiento de Montesquieu y Rousseau, que sustentaron la Revolución Francesa.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6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Al pensamiento político de los patriotas respecto a la división de Poderes y la organización estatal.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manifestaciones de los patriotas en el Cabildo del 22 de mayo, en el Reglamento del 24 y 25 de mayo y en las obras de Moreno, Castelli y Belgrano.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6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el debate sobre los títulos de América, Juan Ginés de Sepúlveda sostuvo: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Que debía instaurarse un régimen de minoridad para los indios.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Que la dignidad de los indios era incuestionable, pero debía crearse un gobierno español para su bienestar.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2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Que los indios debían estar en una servidumbre por la torpeza de entendimiento y costumbres inhumanas.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Que debía regularse el tratamiento para los indios y juzgarse los excesos cometidos por los encomenderos.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Que los indios debían estar en una servidumbre por la torpeza de entendimiento y costumbres inhumanas.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7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implicó la disolución de la Junta Central en España?: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cese de toda autoridad válida de España en América.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cesión del poder real a Portugal en América.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asunción del poder efectivo en cada español que residiera en América.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7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Las autoridades cabildantes y las iglesias debían elegir un representante.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cese de toda autoridad válida de España en América.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Incorrecta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-1,00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7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resolvió la legislatura de la provincia de Buenos Aires, al tratar el Acuerdo de San Nicolás?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Acuerdo es rechazado.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Realiza modificaciones en el Acuerdo.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No lo trató.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3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Creó una comisión a cargo de Vélez Sarsfield, para su análisis y modificación. 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Acuerdo es rechazado.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8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la Revolución de Mayo se destacó el pensamiento de: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pensamiento filosófico y jurídico de Francisco Suárez y su doctrina del contrato y de la soberanía.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Jefferson, Hamilton, Jay, Madison, Paine, Guverneur Morris, Franklin, Lee, Adams, con su pensamiento político y económico.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Los franceses y alemanes como Montesquieu, Rousseau, Vattel o Pufendorf, en su pensamiento jurídico y filosófico.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8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El pensamiento político y jurídico de los ingleses, Hobbes y Locke.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pensamiento filosófico y jurídico de Francisco Suárez y su doctrina del contrato y de la soberanía.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8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civilización incaica organizó un sistema socioeconómico en función de: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Un esquema de propiedad comunitaria estatal y familiar.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reconocimiento de la propiedad privada individual.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pago de tributos  para sostenimiento del culto y luego la redistribución de la riqueza igualitariamente.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Una sociedad sin clases ni esclavos.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Un esquema de propiedad comunitaria estatal y familiar.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9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establecía el Pacto de San José de 1859, respecto al presupuesto de la provincia de Buenos Aires?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Nación debía garantizar el presupuesto de 1859, hasta cinco años después de su incorporación a la Confederación.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provincia de Buenos Aires garantizaría su presupuesto de 1859, con los ingresos de la renta aduanera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Las provincias del litoral sostendrán el presupuesto de la provincia de Buenos Aires.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09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Buenos Aires garantizará su presupuesto de 1859, con la emisión de bonos.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after="120"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Respuesta correcta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Nación debía garantizar el presupuesto de 1859, hasta cinco años después de su incorporación a la Confederación.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09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 era el motivo de la Circular del día 27 de Mayo de comunicar a los pueblos del interior y ordenar se nombren y vengan a la capital los diputados...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"?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Para consolidar posiciones, hacer trascender la revolución y por el rol que debería cumplir el interior en este proceso.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A los efectos formales de participar a los cabildos del norte argentino y el Alto Perú.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convocatoria estaba dirigida esencialmente al Cabildo de Córdoba y de las provincias del Litoral.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convocatoria estaba dirigida principalmente al Cabildo de Asunción del Paraguay.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Para consolidar posiciones, hacer trascender la revolución y por el rol que debería cumplir el interior en este proceso.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0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Pacto o Acuerdo determinó que la Convención Nacional se reuniera en Santa Fe, para reformar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5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Pacto de San José de Flores.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Acuerdo de San Nicolás.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Tratado de Cuadrilátero.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0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Pacto Federal.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Pacto de San José de Flores.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0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escuela teológica de la Salamanca sostuvo 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facultad del Papa para delegar en la Corona castellana, la evangelización (</w:t>
      </w:r>
      <w:r w:rsidRPr="00CF6BA7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Ius Predicandi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)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donación pontificia como máxima expresión de la autoridad civil.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derecho a una ocupación laica.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El sometimiento absoluto de los indios por razones naturales.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facultad del Papa para delegar en la Corona castellana, la evangelización (</w:t>
      </w:r>
      <w:r w:rsidRPr="00CF6BA7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Ius Predicandi</w:t>
      </w: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)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14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Requerimiento fue un documento creado por: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Jurista Juan Ginés de Sepúlveda para llevar adelante acuerdos de paz con los conquistados.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jurista Juan López de Palacios Rubios, en acuerdo con Moctezuma. para someter a los aztecas.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7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jurista Juan López de Palacios Rubios, a pedido de la Corona,para legalizar la tarea evangelizadora.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18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Fray Bartolomé de Las Casas,por solicitarle a la Corona la sanción de leyes protectoras de los indios.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jurista Juan López de Palacios Rubios, a pedido de la Corona,para legalizar la tarea evangelizadora.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19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Real Patronato Indiano tiene sus legitimidad en: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0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bulas </w:t>
      </w:r>
      <w:r w:rsidRPr="00CF6BA7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Inter Caetera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 I y II dictadas por el Papa Alejandro VI.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Tratado de Tordesillas entre España y Portugal.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sermón de fray Antonio de Montesinos en 1511.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3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primera carta de Cristóbal Colón a la Reina Isabel La Católica.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bulas </w:t>
      </w:r>
      <w:r w:rsidRPr="00CF6BA7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Inter Caetera</w:t>
      </w: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 I y II dictadas por el Papa Alejandro VI.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Tomando en cuenta la condición jurídico-política de las Indias: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Indias dependían de la corona castellana.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Indias dependían de Castilla y Aragón.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Las Indias dependían de España.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Indias dependían de la corona de Cataluña.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Indias dependían de la corona castellana.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2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relación a la condición jurídico-política de las Indias los historiadores argumentan diferentes tesis: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br/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29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tesis de Levene propone que las Indias no eran colonias, por cuanto se trataba de territorios marginados por el estado español.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Una tesis  propone que las Indias no eran colonias sino reinos porque sus territorios tenían  autonomía política.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1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tesis de Levene expone que las Indias no eran colonias porque tenían órganos de gobierno independientes e iguales a los de Castilla.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tesis de Zorraquín Becú sostiene que eran departamentos de ultramar de España.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tesis de Levene expone que las Indias no eran colonias porque tenían órganos de gobierno independientes e iguales a los de Castilla.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3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¿En el Cabildo Abierto del 22 de Mayo quién manifestó 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que Buenos Aires no tenía por sí solo derecho alguno a decidir por todo el Virreinato?</w:t>
      </w: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Dr. Manuel Genaro Villota.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Obispo Benito Lué y Riega.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Baltasar Hidalgo de Cisneros.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Juan José Castelli.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Dr. Manuel Genaro Villota.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3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Cabildo Abierto del 22 de Mayo: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3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Tuvo las características de un concilio o una asamblea española de esa época.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Era un ejemplo de democracia popular de todas las clases sociales, menos los esclavos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Era un ejercicio de sufragio popular de todas las clases sociales, menos los esclavos.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Tuvo las características de una asamblea en la que se opinaba pero no se votaba.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Tuvo las características de un concilio o una asamblea española de esa época.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4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¿Cuáles son los Pactos Interprovinciales y Acuerdos considerados fuentes de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Los Pactos de Pilar y Cuadrilátero en cuanto antecedentes, y el Pacto Federal y el Acuerdo de San Nicolás en cuanto preexistentes.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circulares de Urquiza, por la renuncia de Rosas a la representación de las relaciones exteriores de la Confederación.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Pactos interprovinciales que suscribió Ramírez con la provincia de Córdoba.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Los acuerdos de Río Seco de 1831 y Caseros de 1852; y el Pacto Interprovincial Federal de 1832.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Los Pactos de Pilar y Cuadrilátero en cuanto antecedentes, y el Pacto Federal y el Acuerdo de San Nicolás en cuanto preexistentes.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4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 era el lugar de residencia de la Corte Suprema de Justicia de la Nación, establecido por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4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En la ciudad capital.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En la Ciudad de Rosario.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En la ciudad de Santa Fe.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En la ciudad de Paraná.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after="120"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Respuesta correcta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En la ciudad capital.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5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el reglamento del 24 de mayo aparecen los siguientes principios de la gesta revolucionaria: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Representación, responsabilidad, publicidad, periodicidad, división de poderes.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Representación, federación, independencia.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Representación, elección popular, división de poderes, periodicidad, publicidad, independencia.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Libertad, igualdad y fraternidad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Representación, responsabilidad, publicidad, periodicidad, división de poderes.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5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decidió la Legislatura de Buenos Aires al tratar el Acuerdo de San Nicolás de 1852?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5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Lo rechaza.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Lo aprueba.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Le realiza modificaciones.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Adhiere, pero con reservas.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Lo rechaza.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6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¿A qué se denomina 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"el pensamiento de Mayo",</w:t>
      </w: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 como fuente de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manifestaciones de los patriotas en el Cabildo del 22 de mayo, en el Reglamento del 24 y 25 de mayo y en las obras de Moreno, Castelli y Belgrano.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Las proyectos constitucionales de Gorostiaga, Vélez Sarsfield y Alberdi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pensamiento de Montesquieu y Rousseau, que sustentaron la Revolución Francesa.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Al pensamiento político de los patriotas respecto a la división de Poderes y la organización estatal.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manifestaciones de los patriotas en el Cabildo del 22 de mayo, en el Reglamento del 24 y 25 de mayo y en las obras de Moreno, Castelli y Belgrano.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6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el debate sobre los títulos de América, Juan Ginés de Sepúlveda sostuvo: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69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Que debía instaurarse un régimen de minoridad para los indios.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Que la dignidad de los indios era incuestionable, pero debía crearse un gobierno español para su bienestar.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1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Que los indios debían estar en una servidumbre por la torpeza de entendimiento y costumbres inhumanas.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Que debía regularse el tratamiento para los indios y juzgarse los excesos cometidos por los encomenderos.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Que los indios debían estar en una servidumbre por la torpeza de entendimiento y costumbres inhumanas.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7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implicó la disolución de la Junta Central en España?: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cese de toda autoridad válida de España en América.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cesión del poder real a Portugal en América.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asunción del poder efectivo en cada español que residiera en América.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Las autoridades cabildantes y las iglesias debían elegir un representante.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cese de toda autoridad válida de España en América.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Incorrecta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-1,00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7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resolvió la legislatura de la provincia de Buenos Aires, al tratar el Acuerdo de San Nicolás?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79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Acuerdo es rechazado.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Realiza modificaciones en el Acuerdo.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No lo trató.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2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Creó una comisión a cargo de Vélez Sarsfield, para su análisis y modificación. 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Acuerdo es rechazado.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8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En la Revolución de Mayo se destacó el pensamiento de: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pensamiento filosófico y jurídico de Francisco Suárez y su doctrina del contrato y de la soberanía.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Jefferson, Hamilton, Jay, Madison, Paine, Guverneur Morris, Franklin, Lee, Adams, con su pensamiento político y económico.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Los franceses y alemanes como Montesquieu, Rousseau, Vattel o Pufendorf, en su pensamiento jurídico y filosófico.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El pensamiento político y jurídico de los ingleses, Hobbes y Locke.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pensamiento filosófico y jurídico de Francisco Suárez y su doctrina del contrato y de la soberanía.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8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civilización incaica organizó un sistema socioeconómico en función de: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8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Un esquema de propiedad comunitaria estatal y familiar.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reconocimiento de la propiedad privada individual.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pago de tributos  para sostenimiento del culto y luego la redistribución de la riqueza igualitariamente.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Una sociedad sin clases ni esclavos.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Un esquema de propiedad comunitaria estatal y familiar.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9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establecía el Pacto de San José de 1859, respecto al presupuesto de la provincia de Buenos Aires?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Nación debía garantizar el presupuesto de 1859, hasta cinco años después de su incorporación a la Confederación.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provincia de Buenos Aires garantizaría su presupuesto de 1859, con los ingresos de la renta aduanera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Las provincias del litoral sostendrán el presupuesto de la provincia de Buenos Aires.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Buenos Aires garantizará su presupuesto de 1859, con la emisión de bonos.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after="120"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Respuesta correcta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Nación debía garantizar el presupuesto de 1859, hasta cinco años después de su incorporación a la Confederación.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19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¿Cuál era el motivo de la Circular del día 27 de Mayo de comunicar a los pueblos del interior y ordenar se nombren y vengan a la capital los diputados...</w:t>
      </w:r>
      <w:r w:rsidRPr="00CF6BA7">
        <w:rPr>
          <w:rFonts w:ascii="Segoe UI" w:hAnsi="Segoe UI" w:cs="Segoe UI"/>
          <w:b/>
          <w:bCs/>
          <w:i/>
          <w:iCs/>
          <w:color w:val="000000"/>
          <w:sz w:val="23"/>
          <w:szCs w:val="23"/>
          <w:lang w:eastAsia="es-AR"/>
        </w:rPr>
        <w:t>"? 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19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Para consolidar posiciones, hacer trascender la revolución y por el rol que debería cumplir el interior en este proceso.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A los efectos formales de participar a los cabildos del norte argentino y el Alto Perú.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La convocatoria estaba dirigida esencialmente al Cabildo de Córdoba y de las provincias del Litoral.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convocatoria estaba dirigida principalmente al Cabildo de Asunción del Paraguay.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Para consolidar posiciones, hacer trascender la revolución y por el rol que debería cumplir el interior en este proceso.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20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¿Qué Pacto o Acuerdo determinó que la Convención Nacional se reuniera en Santa Fe, para reformar la Constitución Nacional de 1853?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4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Pacto de San José de Flores.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Acuerdo de San Nicolás.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6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Tratado de Cuadrilátero.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Pacto Federal.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Pacto de San José de Flores.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20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La escuela teológica de la Salamanca sostuvo 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0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 facultad del Papa para delegar en la Corona castellana, la evangelización (</w:t>
      </w:r>
      <w:r w:rsidRPr="00CF6BA7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Ius Predicandi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)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La donación pontificia como máxima expresión de la autoridad civil.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derecho a una ocupación laica.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El sometimiento absoluto de los indios por razones naturales.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 facultad del Papa para delegar en la Corona castellana, la evangelización (</w:t>
      </w:r>
      <w:r w:rsidRPr="00CF6BA7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Ius Predicandi</w:t>
      </w: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)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213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Requerimiento fue un documento creado por: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4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El Jurista Juan Ginés de Sepúlveda para llevar adelante acuerdos de paz con los conquistados.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5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jurista Juan López de Palacios Rubios, en acuerdo con Moctezuma. para someter a los aztecas.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6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jurista Juan López de Palacios Rubios, a pedido de la Corona,para legalizar la tarea evangelizadora. 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7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Fray Bartolomé de Las Casas,por solicitarle a la Corona la sanción de leyes protectoras de los indios.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El jurista Juan López de Palacios Rubios, a pedido de la Corona,para legalizar la tarea evangelizadora.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Correcta</w:t>
      </w:r>
    </w:p>
    <w:p w:rsidR="009B293E" w:rsidRPr="00CF6BA7" w:rsidRDefault="009B293E" w:rsidP="00CF6BA7">
      <w:pPr>
        <w:shd w:val="clear" w:color="auto" w:fill="DEE2E6"/>
        <w:spacing w:after="0"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Puntúa 1,00 sobre 1,00</w:t>
      </w:r>
    </w:p>
    <w:p w:rsidR="009B293E" w:rsidRPr="00CF6BA7" w:rsidRDefault="009B293E" w:rsidP="00CF6BA7">
      <w:pPr>
        <w:shd w:val="clear" w:color="auto" w:fill="DEE2E6"/>
        <w:spacing w:line="240" w:lineRule="auto"/>
        <w:rPr>
          <w:rFonts w:ascii="Segoe UI" w:hAnsi="Segoe UI" w:cs="Segoe UI"/>
          <w:color w:val="373A3C"/>
          <w:sz w:val="18"/>
          <w:szCs w:val="18"/>
          <w:lang w:eastAsia="es-AR"/>
        </w:rPr>
      </w:pPr>
      <w:r w:rsidRPr="00B6158B">
        <w:rPr>
          <w:rFonts w:ascii="Segoe UI" w:hAnsi="Segoe UI" w:cs="Segoe UI"/>
          <w:color w:val="373A3C"/>
          <w:sz w:val="18"/>
          <w:szCs w:val="18"/>
          <w:lang w:eastAsia="es-AR"/>
        </w:rPr>
        <w:pict>
          <v:shape id="_x0000_i1218" type="#_x0000_t75" style="width:1in;height:1in">
            <v:imagedata r:id="rId6" o:title=""/>
          </v:shape>
        </w:pict>
      </w:r>
      <w:r w:rsidRPr="00CF6BA7">
        <w:rPr>
          <w:rFonts w:ascii="Segoe UI" w:hAnsi="Segoe UI" w:cs="Segoe UI"/>
          <w:color w:val="373A3C"/>
          <w:sz w:val="18"/>
          <w:szCs w:val="18"/>
          <w:lang w:eastAsia="es-AR"/>
        </w:rPr>
        <w:t>Marcar pregunta</w:t>
      </w:r>
    </w:p>
    <w:p w:rsidR="009B293E" w:rsidRPr="00CF6BA7" w:rsidRDefault="009B293E" w:rsidP="00CF6BA7">
      <w:pPr>
        <w:spacing w:after="100" w:afterAutospacing="1" w:line="240" w:lineRule="auto"/>
        <w:outlineLvl w:val="3"/>
        <w:rPr>
          <w:rFonts w:ascii="Segoe UI" w:hAnsi="Segoe UI" w:cs="Segoe UI"/>
          <w:color w:val="000000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000000"/>
          <w:sz w:val="24"/>
          <w:szCs w:val="24"/>
          <w:lang w:eastAsia="es-AR"/>
        </w:rPr>
        <w:t>Enunciado de la pregunta</w:t>
      </w:r>
    </w:p>
    <w:p w:rsidR="009B293E" w:rsidRPr="00CF6BA7" w:rsidRDefault="009B293E" w:rsidP="00CF6BA7">
      <w:pPr>
        <w:spacing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b/>
          <w:bCs/>
          <w:color w:val="000000"/>
          <w:sz w:val="23"/>
          <w:szCs w:val="23"/>
          <w:lang w:eastAsia="es-AR"/>
        </w:rPr>
        <w:t>El Real Patronato Indiano tiene sus legitimidad en:</w:t>
      </w:r>
    </w:p>
    <w:p w:rsidR="009B293E" w:rsidRPr="00CF6BA7" w:rsidRDefault="009B293E" w:rsidP="00CF6BA7">
      <w:pPr>
        <w:spacing w:after="0" w:line="240" w:lineRule="auto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Seleccione una: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19" type="#_x0000_t75" style="width:20.25pt;height:18pt">
            <v:imagedata r:id="rId4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a. Las bulas </w:t>
      </w:r>
      <w:r w:rsidRPr="00CF6BA7">
        <w:rPr>
          <w:rFonts w:ascii="Segoe UI" w:hAnsi="Segoe UI" w:cs="Segoe UI"/>
          <w:i/>
          <w:iCs/>
          <w:color w:val="000000"/>
          <w:sz w:val="23"/>
          <w:szCs w:val="23"/>
          <w:lang w:eastAsia="es-AR"/>
        </w:rPr>
        <w:t>Inter Caetera</w: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 I y II dictadas por el Papa Alejandro VI. 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20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b. El Tratado de Tordesillas entre España y Portugal.</w:t>
      </w:r>
    </w:p>
    <w:p w:rsidR="009B293E" w:rsidRPr="00CF6BA7" w:rsidRDefault="009B293E" w:rsidP="00CF6BA7">
      <w:pPr>
        <w:spacing w:after="0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21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c. El sermón de fray Antonio de Montesinos en 1511.</w:t>
      </w:r>
    </w:p>
    <w:p w:rsidR="009B293E" w:rsidRPr="00CF6BA7" w:rsidRDefault="009B293E" w:rsidP="00CF6BA7">
      <w:pPr>
        <w:spacing w:after="72" w:line="240" w:lineRule="auto"/>
        <w:ind w:hanging="375"/>
        <w:rPr>
          <w:rFonts w:ascii="Segoe UI" w:hAnsi="Segoe UI" w:cs="Segoe UI"/>
          <w:color w:val="000000"/>
          <w:sz w:val="23"/>
          <w:szCs w:val="23"/>
          <w:lang w:eastAsia="es-AR"/>
        </w:rPr>
      </w:pPr>
      <w:r w:rsidRPr="00B6158B">
        <w:rPr>
          <w:rFonts w:ascii="Segoe UI" w:hAnsi="Segoe UI" w:cs="Segoe UI"/>
          <w:color w:val="000000"/>
          <w:sz w:val="23"/>
          <w:szCs w:val="23"/>
          <w:lang w:eastAsia="es-AR"/>
        </w:rPr>
        <w:pict>
          <v:shape id="_x0000_i1222" type="#_x0000_t75" style="width:20.25pt;height:18pt">
            <v:imagedata r:id="rId5" o:title=""/>
          </v:shape>
        </w:pict>
      </w:r>
      <w:r w:rsidRPr="00CF6BA7">
        <w:rPr>
          <w:rFonts w:ascii="Segoe UI" w:hAnsi="Segoe UI" w:cs="Segoe UI"/>
          <w:color w:val="000000"/>
          <w:sz w:val="23"/>
          <w:szCs w:val="23"/>
          <w:lang w:eastAsia="es-AR"/>
        </w:rPr>
        <w:t>d. La primera carta de Cristóbal Colón a la Reina Isabel La Católica.</w:t>
      </w:r>
    </w:p>
    <w:p w:rsidR="009B293E" w:rsidRPr="00CF6BA7" w:rsidRDefault="009B293E" w:rsidP="00CF6BA7">
      <w:pPr>
        <w:shd w:val="clear" w:color="auto" w:fill="FFFFFF"/>
        <w:spacing w:after="100" w:afterAutospacing="1" w:line="240" w:lineRule="auto"/>
        <w:outlineLvl w:val="3"/>
        <w:rPr>
          <w:rFonts w:ascii="Segoe UI" w:hAnsi="Segoe UI" w:cs="Segoe UI"/>
          <w:color w:val="7D5A29"/>
          <w:sz w:val="24"/>
          <w:szCs w:val="24"/>
          <w:lang w:eastAsia="es-AR"/>
        </w:rPr>
      </w:pPr>
      <w:r w:rsidRPr="00CF6BA7">
        <w:rPr>
          <w:rFonts w:ascii="Segoe UI" w:hAnsi="Segoe UI" w:cs="Segoe UI"/>
          <w:color w:val="7D5A29"/>
          <w:sz w:val="24"/>
          <w:szCs w:val="24"/>
          <w:lang w:eastAsia="es-AR"/>
        </w:rPr>
        <w:t>Retroalimentación</w:t>
      </w:r>
    </w:p>
    <w:p w:rsidR="009B293E" w:rsidRPr="00CF6BA7" w:rsidRDefault="009B293E" w:rsidP="00CF6BA7">
      <w:pPr>
        <w:shd w:val="clear" w:color="auto" w:fill="FFFFFF"/>
        <w:spacing w:line="240" w:lineRule="auto"/>
        <w:rPr>
          <w:rFonts w:ascii="Segoe UI" w:hAnsi="Segoe UI" w:cs="Segoe UI"/>
          <w:color w:val="7D5A29"/>
          <w:sz w:val="23"/>
          <w:szCs w:val="23"/>
          <w:lang w:eastAsia="es-AR"/>
        </w:rPr>
      </w:pP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La respuesta correcta es: Las bulas </w:t>
      </w:r>
      <w:r w:rsidRPr="00CF6BA7">
        <w:rPr>
          <w:rFonts w:ascii="Segoe UI" w:hAnsi="Segoe UI" w:cs="Segoe UI"/>
          <w:i/>
          <w:iCs/>
          <w:color w:val="7D5A29"/>
          <w:sz w:val="23"/>
          <w:szCs w:val="23"/>
          <w:lang w:eastAsia="es-AR"/>
        </w:rPr>
        <w:t>Inter Caetera</w:t>
      </w:r>
      <w:r w:rsidRPr="00CF6BA7">
        <w:rPr>
          <w:rFonts w:ascii="Segoe UI" w:hAnsi="Segoe UI" w:cs="Segoe UI"/>
          <w:color w:val="7D5A29"/>
          <w:sz w:val="23"/>
          <w:szCs w:val="23"/>
          <w:lang w:eastAsia="es-AR"/>
        </w:rPr>
        <w:t> I y II dictadas por el Papa Alejandro VI.</w:t>
      </w:r>
    </w:p>
    <w:p w:rsidR="009B293E" w:rsidRDefault="009B293E"/>
    <w:sectPr w:rsidR="009B293E" w:rsidSect="00B6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BA7"/>
    <w:rsid w:val="007813A0"/>
    <w:rsid w:val="009B293E"/>
    <w:rsid w:val="00B6158B"/>
    <w:rsid w:val="00CB7A9A"/>
    <w:rsid w:val="00CF100B"/>
    <w:rsid w:val="00CF6BA7"/>
    <w:rsid w:val="00DA5656"/>
    <w:rsid w:val="00EE54FB"/>
    <w:rsid w:val="00E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58B"/>
    <w:pPr>
      <w:spacing w:after="160" w:line="259" w:lineRule="auto"/>
    </w:pPr>
    <w:rPr>
      <w:lang w:val="es-AR" w:eastAsia="en-US"/>
    </w:rPr>
  </w:style>
  <w:style w:type="paragraph" w:styleId="Heading4">
    <w:name w:val="heading 4"/>
    <w:basedOn w:val="Normal"/>
    <w:link w:val="Heading4Char"/>
    <w:uiPriority w:val="99"/>
    <w:qFormat/>
    <w:rsid w:val="00CF6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F6BA7"/>
    <w:rPr>
      <w:rFonts w:ascii="Times New Roman" w:hAnsi="Times New Roman" w:cs="Times New Roman"/>
      <w:b/>
      <w:bCs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rsid w:val="00CF6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nswernumber">
    <w:name w:val="answernumber"/>
    <w:basedOn w:val="DefaultParagraphFont"/>
    <w:uiPriority w:val="99"/>
    <w:rsid w:val="00CF6BA7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CF6BA7"/>
    <w:rPr>
      <w:rFonts w:cs="Times New Roman"/>
    </w:rPr>
  </w:style>
  <w:style w:type="character" w:styleId="Strong">
    <w:name w:val="Strong"/>
    <w:basedOn w:val="DefaultParagraphFont"/>
    <w:uiPriority w:val="99"/>
    <w:qFormat/>
    <w:rsid w:val="00CF6BA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F6B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7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2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183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0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17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08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41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19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522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7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5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4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13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8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7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2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6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9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5201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1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1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40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0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3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519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8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1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1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2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01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1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18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2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1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28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0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1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9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0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9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26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1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19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27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4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3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4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5212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9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8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2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2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19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24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19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7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7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07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8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9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1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1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190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17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20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9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3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20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0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2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27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2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21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4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25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522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214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8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15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21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0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1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2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3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9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3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23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9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8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2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3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2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0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19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4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14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2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07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36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1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7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9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195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0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17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9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8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02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18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0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9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5207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1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8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1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0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15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0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18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4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2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19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12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8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1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9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17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3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40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18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13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40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1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19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7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6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09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0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1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9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24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2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521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8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08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37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3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05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17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231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1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24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8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2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294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0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4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522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18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0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9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2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522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22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60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04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22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09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52105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22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8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8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0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02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22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52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2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7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0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89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189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2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23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0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0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3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77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318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519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23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1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171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7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1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22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936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8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2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5200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7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524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31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17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20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51843">
                  <w:marLeft w:val="0"/>
                  <w:marRight w:val="0"/>
                  <w:marTop w:val="0"/>
                  <w:marBottom w:val="0"/>
                  <w:divBdr>
                    <w:top w:val="single" w:sz="6" w:space="0" w:color="08970F"/>
                    <w:left w:val="single" w:sz="6" w:space="0" w:color="08970F"/>
                    <w:bottom w:val="single" w:sz="6" w:space="0" w:color="08970F"/>
                    <w:right w:val="single" w:sz="6" w:space="0" w:color="08970F"/>
                  </w:divBdr>
                  <w:divsChild>
                    <w:div w:id="760521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520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0520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2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3642</Words>
  <Characters>20035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Patricia Sanchez</dc:creator>
  <cp:keywords/>
  <dc:description/>
  <cp:lastModifiedBy>WinuE</cp:lastModifiedBy>
  <cp:revision>2</cp:revision>
  <dcterms:created xsi:type="dcterms:W3CDTF">2020-11-03T15:14:00Z</dcterms:created>
  <dcterms:modified xsi:type="dcterms:W3CDTF">2020-11-10T12:23:00Z</dcterms:modified>
</cp:coreProperties>
</file>