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sistema de Crédito Público es el único sistema que la doctrina  aconseja la centralización tanto de su normatización como en su ejecucion.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26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27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 </w:t>
      </w:r>
      <w:hyperlink r:id="rId7" w:tooltip="SECTOR PÚBLICO" w:history="1">
        <w:r w:rsidRPr="00FC2B14">
          <w:rPr>
            <w:rFonts w:ascii="Century Gothic" w:hAnsi="Century Gothic" w:cs="Times New Roman"/>
            <w:color w:val="000000"/>
            <w:sz w:val="18"/>
            <w:lang w:val="es-ES" w:eastAsia="es-ES"/>
          </w:rPr>
          <w:t>Sector Público</w:t>
        </w:r>
      </w:hyperlink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 NO Financiero (SPNF) está conformado por todos los organismos que intervienen en la base monetaria, ya sea a través de la emisión primaria o secundaria.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28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29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'Falso'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30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compromiso es un acto de administración interno que produce el autoembargo del crédito autorizado, sin producir efecto a terceros ajenos. Justifica la emisión de la Orden de Compras.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31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32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4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33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sistema SIDIF (SISTEMA INTEGRADO DE INFORMACIÓN FINANCIERA) debe servir para: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 o más de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34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a.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Ninguna de las opciones es correcta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35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b.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Brindar información para medir el desempeño de la administración y servir de base para la toma de decisiones y el control interno y externo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36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c.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Permitir el registro de las transacciones desde su orígen, produciendo en forma simultánea los efectos presupuestarios, patrimoniales y económicos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37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d.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Solo a y  b son correctas</w:t>
      </w:r>
    </w:p>
    <w:p w:rsidR="00840278" w:rsidRPr="00FC2B14" w:rsidRDefault="00840278" w:rsidP="00FC2B14">
      <w:pPr>
        <w:shd w:val="clear" w:color="auto" w:fill="DEF2F8"/>
        <w:spacing w:after="72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38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e.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Soporte de la gestión de las unidades ejecutoras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Las respuestas correctas son: Soporte de la gestión de las unidades ejecutoras, Permitir el registro de las transacciones desde su orígen, produciendo en forma simultánea los efectos presupuestarios, patrimoniales y económicos, Brindar información para medir el desempeño de la administración y servir de base para la toma de decisiones y el control interno y externo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5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39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Sistema de Crédito Público no tiene unidades operativas según lo establece el artículo 59 de la Ley 24156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40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41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6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42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sistema de Caja (o de gestión o sistema inglés) pone énfasis en el momento en que se prevé la futura incidencia del gasto o del recurso (oportunidad de tener por ejecutado al gasto o al recurso).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43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44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'Falso'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7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45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enfoque sistémico científico-técnico consiste en: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 o más de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46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a.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Aceptar que toda cosa del mundo real es un sistema o una parte componente de un sistema.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47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b.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No tomar las cosas de a una, aisladamente (Visión de Conjunto)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48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c.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Advertir que una sola disciplina no puede resolver problemas de conocimiento de la vida y el mundo (Tratamiento interdisciplinario)</w:t>
      </w:r>
    </w:p>
    <w:p w:rsidR="00840278" w:rsidRPr="00FC2B14" w:rsidRDefault="00840278" w:rsidP="00FC2B14">
      <w:pPr>
        <w:shd w:val="clear" w:color="auto" w:fill="DEF2F8"/>
        <w:spacing w:after="72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49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d.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Ninguna opción es correcta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Las respuestas correctas son: No tomar las cosas de a una, aisladamente (Visión de Conjunto), Advertir que una sola disciplina no puede resolver problemas de conocimiento de la vida y el mundo (Tratamiento interdisciplinario), Aceptar que toda cosa del mundo real es un sistema o una parte componente de un sistema.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8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50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Cuenta Única del Tesoro es un instrumento operativo de manejo de fondos públicos, vinculada al Sistema de Tesorería, que funciona integrada a los demás Sistemas de Administración Financiera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51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52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9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53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principio o criterio presupuestario de la "Integralidad" se refiere exclusivamente a que el presupuesto debe contener a todo el </w:t>
      </w:r>
      <w:hyperlink r:id="rId10" w:tooltip="SECTOR PÚBLICO" w:history="1">
        <w:r w:rsidRPr="00FC2B14">
          <w:rPr>
            <w:rFonts w:ascii="Century Gothic" w:hAnsi="Century Gothic" w:cs="Times New Roman"/>
            <w:color w:val="000000"/>
            <w:sz w:val="18"/>
            <w:lang w:val="es-ES" w:eastAsia="es-ES"/>
          </w:rPr>
          <w:t>sector público</w:t>
        </w:r>
      </w:hyperlink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54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55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'Falso'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10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56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Según la ley N° 24.156 la administración financiera comprende el conjunto de sistemas, órganos, normas y procedimientos administrativos que hacen posible la obtención de los recursos públicos y su aplicación para el cumplimiento de los objetivos del Estado.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57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58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11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59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sistema de Control Interno queda conformado por: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 o más de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60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a.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las Unidades de Auditoria Interna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61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b.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Tesorería General de la Nación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62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c.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Sindicatura General de la Nación</w:t>
      </w:r>
    </w:p>
    <w:p w:rsidR="00840278" w:rsidRPr="00FC2B14" w:rsidRDefault="00840278" w:rsidP="00FC2B14">
      <w:pPr>
        <w:shd w:val="clear" w:color="auto" w:fill="DEF2F8"/>
        <w:spacing w:after="72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63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d.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Ninguna respuesta es correcta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Las respuestas correctas son: la Sindicatura General de la Nación, las Unidades de Auditoria Interna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12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64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principio o criterio presupuestario de la "Periodicidad o Anualidad" se refiere a la necesidad de que el presupuesto se apruebe y ejecute para un período de tiempo determinado constituido por año, y este necesariamente coincidente con el año calendario.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65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66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'Falso'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13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67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devengado, según la ley Nacional Nº 24156, cuando se opera, una modificación cuantitativa y cualitativa, en la composición del patrimonio de la respectiva jurisdicción o entidad.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68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69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14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70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CP es un desprendimiento de las Finanzas Públicas y del Derecho Administrativo, enmarcada en el Derecho Constitucional.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71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72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15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73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centralización o descentralización son formas administrativas que adopta el administrador para desarrollar sus tareas.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74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75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16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76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 </w:t>
      </w:r>
      <w:hyperlink r:id="rId11" w:tooltip="Contabilidad Pública" w:history="1">
        <w:r w:rsidRPr="00FC2B14">
          <w:rPr>
            <w:rFonts w:ascii="Century Gothic" w:hAnsi="Century Gothic" w:cs="Times New Roman"/>
            <w:color w:val="000000"/>
            <w:sz w:val="18"/>
            <w:lang w:val="es-ES" w:eastAsia="es-ES"/>
          </w:rPr>
          <w:t>Contabilidad Pública</w:t>
        </w:r>
      </w:hyperlink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 es una técnica registral, se ocupa fundamentalmente de la información incluida en las registraciones contables.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77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78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'Falso'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17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79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b/>
          <w:bCs/>
          <w:color w:val="2F6473"/>
          <w:sz w:val="18"/>
          <w:lang w:val="es-ES" w:eastAsia="es-ES"/>
        </w:rPr>
        <w:t>Indique cuáles de las siguientes características corresponden a la Hacienda Pública: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 o más de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80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a.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De Erogación por su finalidad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81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b.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Condición dependiente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82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c.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Sin fines de Lucro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83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d.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Índole coactiva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84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e.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Divisa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85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f.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Asociación Voluntaria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86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g.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Existencia Perdurable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87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h.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Con fines de Lucro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88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i.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Condición Independiente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Las respuestas correctas son: Existencia Perdurable, Índole coactiva, Condición dependiente, Sin fines de Lucro, De Erogación por su finalidad, Divisa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18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89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Elije la opción correcta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131"/>
        <w:gridCol w:w="3403"/>
      </w:tblGrid>
      <w:tr w:rsidR="00840278" w:rsidRPr="003F6D8C" w:rsidTr="00FC2B14">
        <w:tc>
          <w:tcPr>
            <w:tcW w:w="0" w:type="auto"/>
            <w:vAlign w:val="center"/>
          </w:tcPr>
          <w:p w:rsidR="00840278" w:rsidRPr="00FC2B14" w:rsidRDefault="00840278" w:rsidP="00FC2B1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Es el responsable de articular la totalidad de los sistemas que integran la administración financiera dirigiendo, integrando y supervisando su desarrollo e implementación . Relaciona lo técnico con lo político.</w:t>
            </w:r>
          </w:p>
        </w:tc>
        <w:tc>
          <w:tcPr>
            <w:tcW w:w="0" w:type="auto"/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Respuesta 1</w:t>
            </w: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090" type="#_x0000_t75" style="width:156pt;height:18pt">
                  <v:imagedata r:id="rId12" o:title=""/>
                </v:shape>
              </w:pict>
            </w:r>
          </w:p>
        </w:tc>
      </w:tr>
      <w:tr w:rsidR="00840278" w:rsidRPr="003F6D8C" w:rsidTr="00FC2B14">
        <w:tc>
          <w:tcPr>
            <w:tcW w:w="0" w:type="auto"/>
            <w:vAlign w:val="center"/>
          </w:tcPr>
          <w:p w:rsidR="00840278" w:rsidRPr="00FC2B14" w:rsidRDefault="00840278" w:rsidP="00FC2B1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Es el responsable en cada uno de los sistemas de diseño, elaboración y evaluación del cumplimiento de las políticas, dictando normas, metodologías, sistemas y procedimientos generales a ser aplicados por instituciones públicas y de centralización de la información producida por los órganos periféricos</w:t>
            </w:r>
          </w:p>
        </w:tc>
        <w:tc>
          <w:tcPr>
            <w:tcW w:w="0" w:type="auto"/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Respuesta 2</w:t>
            </w: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091" type="#_x0000_t75" style="width:156pt;height:18pt">
                  <v:imagedata r:id="rId13" o:title=""/>
                </v:shape>
              </w:pict>
            </w:r>
          </w:p>
        </w:tc>
      </w:tr>
      <w:tr w:rsidR="00840278" w:rsidRPr="003F6D8C" w:rsidTr="00FC2B14">
        <w:tc>
          <w:tcPr>
            <w:tcW w:w="0" w:type="auto"/>
            <w:vAlign w:val="center"/>
          </w:tcPr>
          <w:p w:rsidR="00840278" w:rsidRPr="00FC2B14" w:rsidRDefault="00840278" w:rsidP="00FC2B1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Está integrado por diferentes instituciones  del </w:t>
            </w:r>
            <w:hyperlink r:id="rId14" w:tooltip="SECTOR PÚBLICO" w:history="1">
              <w:r w:rsidRPr="00FC2B14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s-ES" w:eastAsia="es-ES"/>
                </w:rPr>
                <w:t>sector público</w:t>
              </w:r>
            </w:hyperlink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 a los cuales se les ha asignado precisas responsabilidades operativas en la gestión financiera de los recursos y su aplicación, dentro del ámbito de su competencia</w:t>
            </w:r>
          </w:p>
        </w:tc>
        <w:tc>
          <w:tcPr>
            <w:tcW w:w="0" w:type="auto"/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Respuesta 3</w:t>
            </w: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092" type="#_x0000_t75" style="width:156pt;height:18pt">
                  <v:imagedata r:id="rId15" o:title=""/>
                </v:shape>
              </w:pict>
            </w:r>
          </w:p>
        </w:tc>
      </w:tr>
    </w:tbl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es: Es el responsable de articular la totalidad de los sistemas que integran la administración financiera dirigiendo, integrando y supervisando su desarrollo e implementación . Relaciona lo técnico con lo político. → órgano coordinador, Es el responsable en cada uno de los sistemas de diseño, elaboración y evaluación del cumplimiento de las políticas, dictando normas, metodologías, sistemas y procedimientos generales a ser aplicados por instituciones públicas y de centralización de la información producida por los órganos periféricos → órgano rector, Está integrado por diferentes instituciones  del </w:t>
      </w:r>
      <w:hyperlink r:id="rId16" w:tooltip="SECTOR PÚBLICO" w:history="1">
        <w:r w:rsidRPr="00FC2B14">
          <w:rPr>
            <w:rFonts w:ascii="Century Gothic" w:hAnsi="Century Gothic" w:cs="Times New Roman"/>
            <w:color w:val="000000"/>
            <w:sz w:val="18"/>
            <w:lang w:val="es-ES" w:eastAsia="es-ES"/>
          </w:rPr>
          <w:t>sector público</w:t>
        </w:r>
      </w:hyperlink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 a los cuales se les ha asignado precisas responsabilidades operativas en la gestión financiera de los recursos y su aplicación, dentro del ámbito de su competencia → órgano ejecutor u operativo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19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93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sistema de Competencia (o jurídico o francés) pone énfasis en el ingreso y egreso efectivo de fondos durante el período financiero. 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94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95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'Falso'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20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96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after="120" w:line="480" w:lineRule="atLeast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Tesorería General de la Nación será el </w:t>
      </w:r>
      <w:r w:rsidRPr="00846183">
        <w:rPr>
          <w:rFonts w:ascii="Century Gothic" w:hAnsi="Century Gothic" w:cs="Times New Roman"/>
          <w:color w:val="2F6473"/>
          <w:sz w:val="18"/>
          <w:lang w:val="es-ES" w:eastAsia="es-ES"/>
        </w:rPr>
        <w:pict>
          <v:shape id="_x0000_i1097" type="#_x0000_t75" style="width:115.5pt;height:18pt">
            <v:imagedata r:id="rId17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del sistema de tesorería y, como tal coordinará el funcionamiento de todas las unidades o servicios de tesorería que operan en el </w:t>
      </w:r>
      <w:hyperlink r:id="rId18" w:tooltip="SECTOR PÚBLICO" w:history="1">
        <w:r w:rsidRPr="00FC2B14">
          <w:rPr>
            <w:rFonts w:ascii="Century Gothic" w:hAnsi="Century Gothic" w:cs="Times New Roman"/>
            <w:color w:val="000000"/>
            <w:sz w:val="18"/>
            <w:lang w:val="es-ES" w:eastAsia="es-ES"/>
          </w:rPr>
          <w:t>sector público</w:t>
        </w:r>
      </w:hyperlink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 nacional, dictando normas o procedimientos conducentes a ello.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after="0"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es: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Tesorería General de la Nación será el [órgano rector] del sistema de tesorería y, como tal coordinará el funcionamiento de todas las unidades o servicios de tesorería que operan en el </w:t>
      </w:r>
      <w:hyperlink r:id="rId19" w:tooltip="SECTOR PÚBLICO" w:history="1">
        <w:r w:rsidRPr="00FC2B14">
          <w:rPr>
            <w:rFonts w:ascii="Century Gothic" w:hAnsi="Century Gothic" w:cs="Times New Roman"/>
            <w:color w:val="000000"/>
            <w:sz w:val="18"/>
            <w:lang w:val="es-ES" w:eastAsia="es-ES"/>
          </w:rPr>
          <w:t>sector público</w:t>
        </w:r>
      </w:hyperlink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 nacional, dictando normas o procedimientos conducentes a ello.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21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098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 entenderá por Crédito Público la capacidad que tiene el Estado para endeudarse con el objeto de captar medios financieros para: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 o más de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099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a.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Para atender casos de evidente necesidad nacional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00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b.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Para refinanciar sus pasivos, incluyendo sus intereses respectivos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01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c.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Realizar inversiones productivas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02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d.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Para financiar gastos operativos</w:t>
      </w:r>
    </w:p>
    <w:p w:rsidR="00840278" w:rsidRPr="00FC2B14" w:rsidRDefault="00840278" w:rsidP="00FC2B14">
      <w:pPr>
        <w:shd w:val="clear" w:color="auto" w:fill="DEF2F8"/>
        <w:spacing w:after="72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03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e.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Para reestructurar su organización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Las respuestas correctas son: Realizar inversiones productivas, Para atender casos de evidente necesidad nacional, Para reestructurar su organización, Para refinanciar sus pasivos, incluyendo sus intereses respectivos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22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04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Sistema de Administración de Bienes al igual que el Sistema de Crédito Público no posee organismos ejecutores por cuanto el mismo es centralizado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05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06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'Falso'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23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07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Sindicatura General de la Nación es una entidad con personería jurídica propia y autarquía administrativa y financiera, dependiente jerárquicamente del Presidente de la Nación y operativamente del Congreso Nacional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08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09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'Falso'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24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10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after="12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NATURALEZA  del control público es POLÍTICA ya que emana del ejercicio del poder público.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análisis que hacen los órganos de control es TÉCNICO y que se realiza para brindar apoyo  al poder público.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11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12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25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13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Características de los sistemas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 o más de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14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a.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alteración  o variación de una de las partes o de sus relaciones incide en los demás y en el conjunto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15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b.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Todo sistema contiene otros sistemas(subsistemas)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16" type="#_x0000_t75" style="width:20.25pt;height:18pt">
            <v:imagedata r:id="rId9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c.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Todos los componentes actúan y operan orientados en función de los objetivos del sistema</w:t>
      </w:r>
    </w:p>
    <w:p w:rsidR="00840278" w:rsidRPr="00FC2B14" w:rsidRDefault="00840278" w:rsidP="00FC2B14">
      <w:pPr>
        <w:shd w:val="clear" w:color="auto" w:fill="DEF2F8"/>
        <w:spacing w:after="72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17" type="#_x0000_t75" style="width:20.25pt;height:18pt">
            <v:imagedata r:id="rId8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d.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Ninguna opción es correcta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Las respuestas correctas son: Todo sistema contiene otros sistemas(subsistemas), Todos los componentes actúan y operan orientados en función de los objetivos del sistema, La alteración  o variación de una de las partes o de sus relaciones incide en los demás y en el conjunto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26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18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after="12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Sistema de Contabilidad Gubernamentral se estructura de la siguiente forma:</w:t>
      </w:r>
    </w:p>
    <w:p w:rsidR="00840278" w:rsidRPr="00FC2B14" w:rsidRDefault="00840278" w:rsidP="00FC2B14">
      <w:pPr>
        <w:shd w:val="clear" w:color="auto" w:fill="DEF2F8"/>
        <w:spacing w:after="12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a) La CONTADURÍA GENERAL DE LA NACIÓN, en su calidad de Órgano Rector del Sistema.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b) Las Unidades de Registro Primario, correspondientes a los organismos recaudadores, a la OFICINA NACIONAL DE PRESUPUESTO, a la TESORERIA GENERAL DE LA NACIÓN, a la OFICINA NACIONAL DE CREDITO PÚBLICO y a las jurisdicciones y entidades de la Administración Nacional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19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20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27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21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Según la Ley Nacional Nº 24156, es competencia de la ONP, entre otras, dictar las normas técnicas para la formulación, programación de la ejecución, modificaciones y evaluación de los presupuestos de la administración nacional.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22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23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28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24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técnica del Presupuesto por Programas (PP): pone énfasis en el cumplimiento de las funciones del Estado ( y la necesidad de que la opinión pública conozca y juzgue en relación a: grado de cumplimento de las funciones por los distintos poderes, rendimiento de los servicios públicos, relación con sus costos, etc...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25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26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'Falso'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29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27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Las contrataciones deben ajustarse a ineludibles normas republicanas de publicidad asegurando la transparencia en los procedimientos. Ambas son caras de una misma moneda.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28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29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30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30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Hacienda Pública es: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31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a.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organización social de mayor envergadura.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32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b.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coordinación económica activa de personas y bienes económicos con la finalidad de satisfacer las necesidades de orden colectivo que los individuos no podrían atender aisladamente</w:t>
      </w:r>
    </w:p>
    <w:p w:rsidR="00840278" w:rsidRPr="00FC2B14" w:rsidRDefault="00840278" w:rsidP="00FC2B14">
      <w:pPr>
        <w:shd w:val="clear" w:color="auto" w:fill="DEF2F8"/>
        <w:spacing w:after="72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33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c.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un conjunto de registros de naturaleza contable, que produce datos útiles para la toma de decisiones por parte de los órganos del Estado y sus funcionarios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es: la coordinación económica activa de personas y bienes económicos con la finalidad de satisfacer las necesidades de orden colectivo que los individuos no podrían atender aisladamente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31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34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fondo unificado de Cuentas Corrientes Oficiales es la suma algebraica de los saldos de las cuentas bancarias pertenecientes a las jurisdicciones y entidades del </w:t>
      </w:r>
      <w:hyperlink r:id="rId20" w:tooltip="SECTOR PÚBLICO" w:history="1">
        <w:r w:rsidRPr="00FC2B14">
          <w:rPr>
            <w:rFonts w:ascii="Century Gothic" w:hAnsi="Century Gothic" w:cs="Times New Roman"/>
            <w:color w:val="000000"/>
            <w:sz w:val="18"/>
            <w:lang w:val="es-ES" w:eastAsia="es-ES"/>
          </w:rPr>
          <w:t>Sector Público</w:t>
        </w:r>
      </w:hyperlink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 Nacional No Financiero, existentes en el Banco de la Nación Argentina.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35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36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32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37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Contabilidad Gubernamental o del Estado es: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38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a.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una ciencia que abarca el estudio del sistema de información contable.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39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b.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es una disciplina social y por lo tanto se interesa por el comportamiento del hombre como ser social</w:t>
      </w:r>
    </w:p>
    <w:p w:rsidR="00840278" w:rsidRPr="00FC2B14" w:rsidRDefault="00840278" w:rsidP="00FC2B14">
      <w:pPr>
        <w:shd w:val="clear" w:color="auto" w:fill="DEF2F8"/>
        <w:spacing w:after="72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40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c.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sistema de información contable de  naturaleza financiera, patrimonial, presupuestaria y económica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es: el sistema de información contable de  naturaleza financiera, patrimonial, presupuestaria y económica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33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41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El primer Simposio Nacional de Profesores Universitarios de </w:t>
      </w:r>
      <w:hyperlink r:id="rId21" w:tooltip="Contabilidad Pública" w:history="1">
        <w:r w:rsidRPr="00FC2B14">
          <w:rPr>
            <w:rFonts w:ascii="Century Gothic" w:hAnsi="Century Gothic" w:cs="Times New Roman"/>
            <w:color w:val="000000"/>
            <w:sz w:val="18"/>
            <w:lang w:val="es-ES" w:eastAsia="es-ES"/>
          </w:rPr>
          <w:t>Contabilidad Pública</w:t>
        </w:r>
      </w:hyperlink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 (celebrado en la ciudad de Bahía Blanca en 1.981) definió como  el objeto de la </w:t>
      </w:r>
      <w:hyperlink r:id="rId22" w:tooltip="Contabilidad Pública" w:history="1">
        <w:r w:rsidRPr="00FC2B14">
          <w:rPr>
            <w:rFonts w:ascii="Century Gothic" w:hAnsi="Century Gothic" w:cs="Times New Roman"/>
            <w:color w:val="000000"/>
            <w:sz w:val="18"/>
            <w:lang w:val="es-ES" w:eastAsia="es-ES"/>
          </w:rPr>
          <w:t>Contabilidad Pública</w:t>
        </w:r>
      </w:hyperlink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, el estudio de: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42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a.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administración centralizada y descentralizada desde el punto de vista de i) la organización ii) la gestión iii) el control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43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b.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hacienda pública desde el punto de vista de i) la organización ii)la gestión iii)el  control</w:t>
      </w:r>
    </w:p>
    <w:p w:rsidR="00840278" w:rsidRPr="00FC2B14" w:rsidRDefault="00840278" w:rsidP="00FC2B14">
      <w:pPr>
        <w:shd w:val="clear" w:color="auto" w:fill="DEF2F8"/>
        <w:spacing w:after="72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44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c.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administración pública desde el punto de vista de i) la organización ii) la gestión iii) el control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es: la hacienda pública desde el punto de vista de i) la organización ii)la gestión iii)el  control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34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45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Las clasificaciones presupuestarias son instrumentos normativos que agrupan los recursos y gastos de acuerdo a ciertos criterios.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46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47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35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48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Los bienes de dominio público están destinados al uso común de los miembros de una comunidad. Sobre estos elementos más que un derecho de propiedad o de dominio común, el Estado ejerce un derecho especial de índole pública.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49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50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36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51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after="120" w:line="480" w:lineRule="atLeast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 considerará </w:t>
      </w:r>
      <w:r w:rsidRPr="00846183">
        <w:rPr>
          <w:rFonts w:ascii="Century Gothic" w:hAnsi="Century Gothic" w:cs="Times New Roman"/>
          <w:color w:val="2F6473"/>
          <w:sz w:val="18"/>
          <w:lang w:val="es-ES" w:eastAsia="es-ES"/>
        </w:rPr>
        <w:pict>
          <v:shape id="_x0000_i1152" type="#_x0000_t75" style="width:137.25pt;height:18pt">
            <v:imagedata r:id="rId23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, aquella contraída con personas físicas o jurídicas residentes o domiciliadas en la República Argentina y cuyo pago puede ser exigible dentro del territorio nacional. Por su parte se considerará </w:t>
      </w:r>
      <w:r w:rsidRPr="00846183">
        <w:rPr>
          <w:rFonts w:ascii="Century Gothic" w:hAnsi="Century Gothic" w:cs="Times New Roman"/>
          <w:color w:val="2F6473"/>
          <w:sz w:val="18"/>
          <w:lang w:val="es-ES" w:eastAsia="es-ES"/>
        </w:rPr>
        <w:pict>
          <v:shape id="_x0000_i1153" type="#_x0000_t75" style="width:137.25pt;height:18pt">
            <v:imagedata r:id="rId2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, aquella contraída con otro Estado u organismo internacional o con cualquier otra persona física o jurídica sin residencia o domicilio en la República Argentina y cuyo pago puede ser exigible fuera de su territorio.</w:t>
      </w:r>
    </w:p>
    <w:p w:rsidR="00840278" w:rsidRPr="00FC2B14" w:rsidRDefault="00840278" w:rsidP="00FC2B14">
      <w:pPr>
        <w:shd w:val="clear" w:color="auto" w:fill="DEF2F8"/>
        <w:spacing w:after="120" w:line="480" w:lineRule="atLeast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 </w:t>
      </w:r>
      <w:r w:rsidRPr="00846183">
        <w:rPr>
          <w:rFonts w:ascii="Century Gothic" w:hAnsi="Century Gothic" w:cs="Times New Roman"/>
          <w:color w:val="2F6473"/>
          <w:sz w:val="18"/>
          <w:lang w:val="es-ES" w:eastAsia="es-ES"/>
        </w:rPr>
        <w:pict>
          <v:shape id="_x0000_i1154" type="#_x0000_t75" style="width:137.25pt;height:18pt">
            <v:imagedata r:id="rId2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de la administración central es aquella asumida por la misma en calidad de deudor principal.</w:t>
      </w:r>
    </w:p>
    <w:p w:rsidR="00840278" w:rsidRPr="00FC2B14" w:rsidRDefault="00840278" w:rsidP="00FC2B14">
      <w:pPr>
        <w:shd w:val="clear" w:color="auto" w:fill="DEF2F8"/>
        <w:spacing w:after="120" w:line="480" w:lineRule="atLeast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 </w:t>
      </w:r>
      <w:r w:rsidRPr="00846183">
        <w:rPr>
          <w:rFonts w:ascii="Century Gothic" w:hAnsi="Century Gothic" w:cs="Times New Roman"/>
          <w:color w:val="2F6473"/>
          <w:sz w:val="18"/>
          <w:lang w:val="es-ES" w:eastAsia="es-ES"/>
        </w:rPr>
        <w:pict>
          <v:shape id="_x0000_i1155" type="#_x0000_t75" style="width:137.25pt;height:18pt">
            <v:imagedata r:id="rId26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de la Administración central es constituída por cualquier física o juridica, pública o privada, distinta de la misma, pero que cuenta con su aval, fianza o garantía.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after="0"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es:</w:t>
      </w:r>
    </w:p>
    <w:p w:rsidR="00840278" w:rsidRPr="00FC2B14" w:rsidRDefault="00840278" w:rsidP="00FC2B14">
      <w:pPr>
        <w:shd w:val="clear" w:color="auto" w:fill="FCEFDC"/>
        <w:spacing w:after="120"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Se considerará [deuda interna] , aquella contraída con personas físicas o jurídicas residentes o domiciliadas en la República Argentina y cuyo pago puede ser exigible dentro del territorio nacional. Por su parte se considerará [deuda externa], aquella contraída con otro Estado u organismo internacional o con cualquier otra persona física o jurídica sin residencia o domicilio en la República Argentina y cuyo pago puede ser exigible fuera de su territorio.</w:t>
      </w:r>
    </w:p>
    <w:p w:rsidR="00840278" w:rsidRPr="00FC2B14" w:rsidRDefault="00840278" w:rsidP="00FC2B14">
      <w:pPr>
        <w:shd w:val="clear" w:color="auto" w:fill="FCEFDC"/>
        <w:spacing w:after="120"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[deuda pública directa] de la administración central es aquella asumida por la misma en calidad de deudor principal.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[deuda pública indirecta] de la Administración central es constituída por cualquier física o juridica, pública o privada, distinta de la misma, pero que cuenta con su aval, fianza o garantía.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37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56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FFFFFF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Clasificar los principios presupuestarios, según corresponda 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28"/>
        <w:gridCol w:w="1403"/>
        <w:gridCol w:w="1776"/>
        <w:gridCol w:w="1815"/>
      </w:tblGrid>
      <w:tr w:rsidR="00840278" w:rsidRPr="003F6D8C" w:rsidTr="00FC2B1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Principio político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Principio técnico-contable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iii)Principio económico</w:t>
            </w:r>
          </w:p>
        </w:tc>
      </w:tr>
      <w:tr w:rsidR="00840278" w:rsidRPr="003F6D8C" w:rsidTr="00FC2B14"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Presupuesto bruto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57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58" type="#_x0000_t75" style="width:20.25pt;height:18pt">
                  <v:imagedata r:id="rId4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59" type="#_x0000_t75" style="width:20.25pt;height:18pt">
                  <v:imagedata r:id="rId5" o:title=""/>
                </v:shape>
              </w:pict>
            </w:r>
          </w:p>
        </w:tc>
      </w:tr>
      <w:tr w:rsidR="00840278" w:rsidRPr="003F6D8C" w:rsidTr="00FC2B14"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Gasto público mínimo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60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61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62" type="#_x0000_t75" style="width:20.25pt;height:18pt">
                  <v:imagedata r:id="rId4" o:title=""/>
                </v:shape>
              </w:pict>
            </w:r>
          </w:p>
        </w:tc>
      </w:tr>
      <w:tr w:rsidR="00840278" w:rsidRPr="003F6D8C" w:rsidTr="00FC2B14"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Reglas macrofiscales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63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64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65" type="#_x0000_t75" style="width:20.25pt;height:18pt">
                  <v:imagedata r:id="rId4" o:title=""/>
                </v:shape>
              </w:pict>
            </w:r>
          </w:p>
        </w:tc>
      </w:tr>
      <w:tr w:rsidR="00840278" w:rsidRPr="003F6D8C" w:rsidTr="00FC2B14"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Neutralidad y justicia equitativa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66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67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68" type="#_x0000_t75" style="width:20.25pt;height:18pt">
                  <v:imagedata r:id="rId4" o:title=""/>
                </v:shape>
              </w:pict>
            </w:r>
          </w:p>
        </w:tc>
      </w:tr>
      <w:tr w:rsidR="00840278" w:rsidRPr="003F6D8C" w:rsidTr="00FC2B14"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Claridad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69" type="#_x0000_t75" style="width:20.25pt;height:18pt">
                  <v:imagedata r:id="rId4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70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71" type="#_x0000_t75" style="width:20.25pt;height:18pt">
                  <v:imagedata r:id="rId5" o:title=""/>
                </v:shape>
              </w:pict>
            </w:r>
          </w:p>
        </w:tc>
      </w:tr>
      <w:tr w:rsidR="00840278" w:rsidRPr="003F6D8C" w:rsidTr="00FC2B14"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Ejercicio Cerrado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72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73" type="#_x0000_t75" style="width:20.25pt;height:18pt">
                  <v:imagedata r:id="rId4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74" type="#_x0000_t75" style="width:20.25pt;height:18pt">
                  <v:imagedata r:id="rId5" o:title=""/>
                </v:shape>
              </w:pict>
            </w:r>
          </w:p>
        </w:tc>
      </w:tr>
      <w:tr w:rsidR="00840278" w:rsidRPr="003F6D8C" w:rsidTr="00FC2B14"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Especialidad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75" type="#_x0000_t75" style="width:20.25pt;height:18pt">
                  <v:imagedata r:id="rId4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76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77" type="#_x0000_t75" style="width:20.25pt;height:18pt">
                  <v:imagedata r:id="rId5" o:title=""/>
                </v:shape>
              </w:pict>
            </w:r>
          </w:p>
        </w:tc>
      </w:tr>
      <w:tr w:rsidR="00840278" w:rsidRPr="003F6D8C" w:rsidTr="00FC2B14"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FC2B14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>Voluntad Política para que el Presupuesto sea plan de gobierno 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78" type="#_x0000_t75" style="width:20.25pt;height:18pt">
                  <v:imagedata r:id="rId4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79" type="#_x0000_t75" style="width:20.25pt;height:18pt">
                  <v:imagedata r:id="rId5" o:title="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nil"/>
            </w:tcBorders>
            <w:tcMar>
              <w:top w:w="59" w:type="dxa"/>
              <w:left w:w="59" w:type="dxa"/>
              <w:bottom w:w="59" w:type="dxa"/>
              <w:right w:w="59" w:type="dxa"/>
            </w:tcMar>
            <w:vAlign w:val="center"/>
          </w:tcPr>
          <w:p w:rsidR="00840278" w:rsidRPr="00FC2B14" w:rsidRDefault="00840278" w:rsidP="00FC2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 w:rsidRPr="00846183"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pict>
                <v:shape id="_x0000_i1180" type="#_x0000_t75" style="width:20.25pt;height:18pt">
                  <v:imagedata r:id="rId5" o:title=""/>
                </v:shape>
              </w:pict>
            </w:r>
          </w:p>
        </w:tc>
      </w:tr>
    </w:tbl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38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81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La Tesorería General de la Nación podrá emitir letras del Tesoro para: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82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a.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cubrir deficiencias estacionales de caja hasta el monto que fije anualmente la ley de presupuesto.</w:t>
      </w:r>
    </w:p>
    <w:p w:rsidR="00840278" w:rsidRPr="00FC2B14" w:rsidRDefault="00840278" w:rsidP="00FC2B14">
      <w:pPr>
        <w:shd w:val="clear" w:color="auto" w:fill="DEF2F8"/>
        <w:spacing w:after="0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83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b.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cubrir deficiencias estacionales de caja hasta el monto que determine la Oficina Nacional de Crédito Público</w:t>
      </w:r>
    </w:p>
    <w:p w:rsidR="00840278" w:rsidRPr="00FC2B14" w:rsidRDefault="00840278" w:rsidP="00FC2B14">
      <w:pPr>
        <w:shd w:val="clear" w:color="auto" w:fill="DEF2F8"/>
        <w:spacing w:after="72" w:line="240" w:lineRule="auto"/>
        <w:ind w:hanging="293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84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lang w:val="es-ES" w:eastAsia="es-ES"/>
        </w:rPr>
        <w:t>c. </w: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Ninguna respuesta es correcta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es: cubrir deficiencias estacionales de caja hasta el monto que fije anualmente la ley de presupuesto.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39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85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En el esquema Ahorro Inversión Financiamiento, los movimientos arriba de la línea, representan decisiones condicionadas a resultados de negociaciones del Estado con otras personas e instituciones ajenas a su capacidad de imperio.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86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87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'Falso'</w:t>
      </w:r>
    </w:p>
    <w:p w:rsidR="00840278" w:rsidRPr="00FC2B14" w:rsidRDefault="00840278" w:rsidP="00FC2B14">
      <w:pPr>
        <w:shd w:val="clear" w:color="auto" w:fill="DEE2E6"/>
        <w:spacing w:after="0" w:line="240" w:lineRule="auto"/>
        <w:outlineLvl w:val="2"/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14"/>
          <w:szCs w:val="14"/>
          <w:lang w:val="es-ES" w:eastAsia="es-ES"/>
        </w:rPr>
        <w:t>Pregunta </w:t>
      </w:r>
      <w:r w:rsidRPr="00FC2B14">
        <w:rPr>
          <w:rFonts w:ascii="Century Gothic" w:hAnsi="Century Gothic" w:cs="Times New Roman"/>
          <w:b/>
          <w:bCs/>
          <w:color w:val="E30316"/>
          <w:sz w:val="21"/>
          <w:lang w:val="es-ES" w:eastAsia="es-ES"/>
        </w:rPr>
        <w:t>40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Finalizado</w:t>
      </w:r>
    </w:p>
    <w:p w:rsidR="00840278" w:rsidRPr="00FC2B14" w:rsidRDefault="00840278" w:rsidP="00FC2B14">
      <w:pPr>
        <w:shd w:val="clear" w:color="auto" w:fill="DEE2E6"/>
        <w:spacing w:after="0"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FC2B14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t>Puntúa como 0,25</w:t>
      </w:r>
    </w:p>
    <w:p w:rsidR="00840278" w:rsidRPr="00FC2B14" w:rsidRDefault="00840278" w:rsidP="00FC2B14">
      <w:pPr>
        <w:shd w:val="clear" w:color="auto" w:fill="DEE2E6"/>
        <w:spacing w:line="240" w:lineRule="auto"/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</w:pPr>
      <w:r w:rsidRPr="00846183">
        <w:rPr>
          <w:rFonts w:ascii="Century Gothic" w:hAnsi="Century Gothic" w:cs="Times New Roman"/>
          <w:color w:val="656565"/>
          <w:sz w:val="14"/>
          <w:szCs w:val="14"/>
          <w:lang w:val="es-ES" w:eastAsia="es-ES"/>
        </w:rPr>
        <w:pict>
          <v:shape id="_x0000_i1188" type="#_x0000_t75" style="width:1in;height:1in">
            <v:imagedata r:id="rId6" o:title=""/>
          </v:shape>
        </w:pict>
      </w:r>
      <w:r w:rsidRPr="00FC2B14">
        <w:rPr>
          <w:rFonts w:ascii="Century Gothic" w:hAnsi="Century Gothic" w:cs="Times New Roman"/>
          <w:color w:val="656565"/>
          <w:sz w:val="14"/>
          <w:lang w:val="es-ES" w:eastAsia="es-ES"/>
        </w:rPr>
        <w:t>Marcar pregunta</w:t>
      </w:r>
    </w:p>
    <w:p w:rsidR="00840278" w:rsidRPr="00FC2B14" w:rsidRDefault="00840278" w:rsidP="00FC2B14">
      <w:pPr>
        <w:shd w:val="clear" w:color="auto" w:fill="DEF2F8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Enunciado de la pregunta</w:t>
      </w:r>
    </w:p>
    <w:p w:rsidR="00840278" w:rsidRPr="00FC2B14" w:rsidRDefault="00840278" w:rsidP="00FC2B14">
      <w:pPr>
        <w:shd w:val="clear" w:color="auto" w:fill="DEF2F8"/>
        <w:spacing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Con la Orden de Compra expedida a favor de un proveedor, y autorizada por autoridad competente se registra la etapa del compromiso. 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Seleccione una:</w:t>
      </w:r>
    </w:p>
    <w:p w:rsidR="00840278" w:rsidRPr="00FC2B14" w:rsidRDefault="00840278" w:rsidP="00FC2B14">
      <w:pPr>
        <w:shd w:val="clear" w:color="auto" w:fill="DEF2F8"/>
        <w:spacing w:after="0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89" type="#_x0000_t75" style="width:20.25pt;height:18pt">
            <v:imagedata r:id="rId4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Verdadero</w:t>
      </w:r>
    </w:p>
    <w:p w:rsidR="00840278" w:rsidRPr="00FC2B14" w:rsidRDefault="00840278" w:rsidP="00FC2B14">
      <w:pPr>
        <w:shd w:val="clear" w:color="auto" w:fill="DEF2F8"/>
        <w:spacing w:after="72" w:line="240" w:lineRule="auto"/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</w:pPr>
      <w:r w:rsidRPr="00846183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pict>
          <v:shape id="_x0000_i1190" type="#_x0000_t75" style="width:20.25pt;height:18pt">
            <v:imagedata r:id="rId5" o:title=""/>
          </v:shape>
        </w:pict>
      </w:r>
      <w:r w:rsidRPr="00FC2B14">
        <w:rPr>
          <w:rFonts w:ascii="Century Gothic" w:hAnsi="Century Gothic" w:cs="Times New Roman"/>
          <w:color w:val="2F6473"/>
          <w:sz w:val="18"/>
          <w:szCs w:val="18"/>
          <w:lang w:val="es-ES" w:eastAsia="es-ES"/>
        </w:rPr>
        <w:t>Falso</w:t>
      </w:r>
    </w:p>
    <w:p w:rsidR="00840278" w:rsidRPr="00FC2B14" w:rsidRDefault="00840278" w:rsidP="00FC2B14">
      <w:pPr>
        <w:shd w:val="clear" w:color="auto" w:fill="FCEFDC"/>
        <w:spacing w:after="100" w:afterAutospacing="1" w:line="240" w:lineRule="auto"/>
        <w:outlineLvl w:val="3"/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</w:pPr>
      <w:r w:rsidRPr="00FC2B14">
        <w:rPr>
          <w:rFonts w:ascii="Century Gothic" w:hAnsi="Century Gothic" w:cs="Times New Roman"/>
          <w:color w:val="E30316"/>
          <w:sz w:val="24"/>
          <w:szCs w:val="24"/>
          <w:lang w:val="es-ES" w:eastAsia="es-ES"/>
        </w:rPr>
        <w:t>Retroalimentación</w:t>
      </w:r>
    </w:p>
    <w:p w:rsidR="00840278" w:rsidRPr="00FC2B14" w:rsidRDefault="00840278" w:rsidP="00FC2B14">
      <w:pPr>
        <w:shd w:val="clear" w:color="auto" w:fill="FCEFDC"/>
        <w:spacing w:line="240" w:lineRule="auto"/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</w:pPr>
      <w:r w:rsidRPr="00FC2B14">
        <w:rPr>
          <w:rFonts w:ascii="Century Gothic" w:hAnsi="Century Gothic" w:cs="Times New Roman"/>
          <w:color w:val="7D5A29"/>
          <w:sz w:val="18"/>
          <w:szCs w:val="18"/>
          <w:lang w:val="es-ES" w:eastAsia="es-ES"/>
        </w:rPr>
        <w:t>La respuesta correcta es 'Verdadero'</w:t>
      </w:r>
    </w:p>
    <w:p w:rsidR="00840278" w:rsidRPr="00FC2B14" w:rsidRDefault="00840278">
      <w:pPr>
        <w:rPr>
          <w:lang w:val="es-ES"/>
        </w:rPr>
      </w:pPr>
    </w:p>
    <w:sectPr w:rsidR="00840278" w:rsidRPr="00FC2B14" w:rsidSect="001C6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B14"/>
    <w:rsid w:val="001C6B74"/>
    <w:rsid w:val="003F6D8C"/>
    <w:rsid w:val="00840278"/>
    <w:rsid w:val="00846183"/>
    <w:rsid w:val="00C01982"/>
    <w:rsid w:val="00DD797B"/>
    <w:rsid w:val="00E37F82"/>
    <w:rsid w:val="00FC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74"/>
    <w:pPr>
      <w:spacing w:after="200" w:line="276" w:lineRule="auto"/>
    </w:pPr>
    <w:rPr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FC2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Heading4">
    <w:name w:val="heading 4"/>
    <w:basedOn w:val="Normal"/>
    <w:link w:val="Heading4Char"/>
    <w:uiPriority w:val="99"/>
    <w:qFormat/>
    <w:rsid w:val="00FC2B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C2B14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C2B14"/>
    <w:rPr>
      <w:rFonts w:ascii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FC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qno">
    <w:name w:val="qno"/>
    <w:basedOn w:val="DefaultParagraphFont"/>
    <w:uiPriority w:val="99"/>
    <w:rsid w:val="00FC2B14"/>
    <w:rPr>
      <w:rFonts w:cs="Times New Roman"/>
    </w:rPr>
  </w:style>
  <w:style w:type="character" w:customStyle="1" w:styleId="questionflagtext">
    <w:name w:val="questionflagtext"/>
    <w:basedOn w:val="DefaultParagraphFont"/>
    <w:uiPriority w:val="99"/>
    <w:rsid w:val="00FC2B14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FC2B1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C2B14"/>
    <w:rPr>
      <w:rFonts w:cs="Times New Roman"/>
      <w:color w:val="800080"/>
      <w:u w:val="single"/>
    </w:rPr>
  </w:style>
  <w:style w:type="character" w:customStyle="1" w:styleId="answernumber">
    <w:name w:val="answernumber"/>
    <w:basedOn w:val="DefaultParagraphFont"/>
    <w:uiPriority w:val="99"/>
    <w:rsid w:val="00FC2B14"/>
    <w:rPr>
      <w:rFonts w:cs="Times New Roman"/>
    </w:rPr>
  </w:style>
  <w:style w:type="character" w:styleId="Strong">
    <w:name w:val="Strong"/>
    <w:basedOn w:val="DefaultParagraphFont"/>
    <w:uiPriority w:val="99"/>
    <w:qFormat/>
    <w:rsid w:val="00FC2B14"/>
    <w:rPr>
      <w:rFonts w:cs="Times New Roman"/>
      <w:b/>
      <w:bCs/>
    </w:rPr>
  </w:style>
  <w:style w:type="character" w:customStyle="1" w:styleId="control">
    <w:name w:val="control"/>
    <w:basedOn w:val="DefaultParagraphFont"/>
    <w:uiPriority w:val="99"/>
    <w:rsid w:val="00FC2B14"/>
    <w:rPr>
      <w:rFonts w:cs="Times New Roman"/>
    </w:rPr>
  </w:style>
  <w:style w:type="character" w:customStyle="1" w:styleId="title">
    <w:name w:val="title"/>
    <w:basedOn w:val="DefaultParagraphFont"/>
    <w:uiPriority w:val="99"/>
    <w:rsid w:val="00FC2B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75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61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6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6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76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7799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6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7630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756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61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76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87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4479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7781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8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7841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760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943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0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84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9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81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7915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76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62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52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806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68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8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447684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766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14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8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04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4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90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682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768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917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6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08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9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6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61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0448042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5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76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77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80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7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14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079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6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813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70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77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44772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586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6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768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982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805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7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77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44780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64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1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7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803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965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0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7956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6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782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653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80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787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65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6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98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6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95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782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676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78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579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5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8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78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44783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5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70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7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76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7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93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7907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6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785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87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6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6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80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0447889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1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8137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5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6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790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59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76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8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81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6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4476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447952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5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6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793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62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583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9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812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55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8107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6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79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62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551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7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94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83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4478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447941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795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602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8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766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74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69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81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7789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0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797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08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98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89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4481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131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8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798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54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55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94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0447577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7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7944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799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884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5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789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55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8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96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0447633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9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0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7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963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97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76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448066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6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02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59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933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7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816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9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817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447706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5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02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921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6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796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79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70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80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7923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7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03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56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5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16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08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7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815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8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9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4803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92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17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90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7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802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448133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0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821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8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00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92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68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79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009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7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0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95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56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70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816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044766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8031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6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05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55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837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0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802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8043">
                      <w:marLeft w:val="0"/>
                      <w:marRight w:val="0"/>
                      <w:marTop w:val="1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447712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6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06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543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79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3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7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75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7744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0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06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8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49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8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65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6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8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7853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08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6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89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61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4477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7906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8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7898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80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7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09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2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13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89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806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4481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447819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80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4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09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804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10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548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0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69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9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817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4811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5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731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797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6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66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7882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12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867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8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788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1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5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793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797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7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12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85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80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778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3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975">
                      <w:marLeft w:val="0"/>
                      <w:marRight w:val="0"/>
                      <w:marTop w:val="1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7770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6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13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91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89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6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807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8025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7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0448151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5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5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67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14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single" w:sz="4" w:space="0" w:color="848484"/>
            <w:right w:val="none" w:sz="0" w:space="0" w:color="auto"/>
          </w:divBdr>
          <w:divsChild>
            <w:div w:id="33044760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80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448122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9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1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4815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638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5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00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78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79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4806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4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8142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79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17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71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7654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304480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4815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3044810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4481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447886">
              <w:marLeft w:val="0"/>
              <w:marRight w:val="0"/>
              <w:marTop w:val="0"/>
              <w:marBottom w:val="432"/>
              <w:divBdr>
                <w:top w:val="single" w:sz="4" w:space="6" w:color="CAD0D7"/>
                <w:left w:val="single" w:sz="4" w:space="6" w:color="CAD0D7"/>
                <w:bottom w:val="single" w:sz="4" w:space="6" w:color="CAD0D7"/>
                <w:right w:val="single" w:sz="4" w:space="6" w:color="CAD0D7"/>
              </w:divBdr>
              <w:divsChild>
                <w:div w:id="3304477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8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hyperlink" Target="https://economia-administracion.campusvirtual.ucasal.edu.ar/mod/resource/view.php?id=58126" TargetMode="External"/><Relationship Id="rId26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hyperlink" Target="https://economia-administracion.campusvirtual.ucasal.edu.ar/mod/wiki/view.php?id=50570" TargetMode="External"/><Relationship Id="rId7" Type="http://schemas.openxmlformats.org/officeDocument/2006/relationships/hyperlink" Target="https://economia-administracion.campusvirtual.ucasal.edu.ar/mod/resource/view.php?id=58126" TargetMode="Externa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hyperlink" Target="https://economia-administracion.campusvirtual.ucasal.edu.ar/mod/resource/view.php?id=58126" TargetMode="External"/><Relationship Id="rId20" Type="http://schemas.openxmlformats.org/officeDocument/2006/relationships/hyperlink" Target="https://economia-administracion.campusvirtual.ucasal.edu.ar/mod/resource/view.php?id=58126" TargetMode="Externa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hyperlink" Target="https://economia-administracion.campusvirtual.ucasal.edu.ar/mod/wiki/view.php?id=50570" TargetMode="External"/><Relationship Id="rId24" Type="http://schemas.openxmlformats.org/officeDocument/2006/relationships/image" Target="media/image11.wmf"/><Relationship Id="rId5" Type="http://schemas.openxmlformats.org/officeDocument/2006/relationships/image" Target="media/image2.wmf"/><Relationship Id="rId15" Type="http://schemas.openxmlformats.org/officeDocument/2006/relationships/image" Target="media/image8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hyperlink" Target="https://economia-administracion.campusvirtual.ucasal.edu.ar/mod/resource/view.php?id=58126" TargetMode="External"/><Relationship Id="rId19" Type="http://schemas.openxmlformats.org/officeDocument/2006/relationships/hyperlink" Target="https://economia-administracion.campusvirtual.ucasal.edu.ar/mod/resource/view.php?id=58126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5.wmf"/><Relationship Id="rId14" Type="http://schemas.openxmlformats.org/officeDocument/2006/relationships/hyperlink" Target="https://economia-administracion.campusvirtual.ucasal.edu.ar/mod/resource/view.php?id=58126" TargetMode="External"/><Relationship Id="rId22" Type="http://schemas.openxmlformats.org/officeDocument/2006/relationships/hyperlink" Target="https://economia-administracion.campusvirtual.ucasal.edu.ar/mod/wiki/view.php?id=5057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19</Pages>
  <Words>3388</Words>
  <Characters>18638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 94</dc:creator>
  <cp:keywords/>
  <dc:description/>
  <cp:lastModifiedBy>WinuE</cp:lastModifiedBy>
  <cp:revision>2</cp:revision>
  <dcterms:created xsi:type="dcterms:W3CDTF">2020-11-24T22:04:00Z</dcterms:created>
  <dcterms:modified xsi:type="dcterms:W3CDTF">2020-11-26T12:31:00Z</dcterms:modified>
</cp:coreProperties>
</file>