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2915"/>
      </w:tblGrid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Comenzado 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0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martes, 9 de febrero de 2021, 18:01</w:t>
            </w:r>
          </w:p>
        </w:tc>
      </w:tr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Estado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0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Finalizado</w:t>
            </w:r>
          </w:p>
        </w:tc>
      </w:tr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Finalizado 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0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martes, 9 de febrero de 2021, 18:22</w:t>
            </w:r>
          </w:p>
        </w:tc>
      </w:tr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Tiempo empleado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0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20 minutos 51 segundos</w:t>
            </w:r>
          </w:p>
        </w:tc>
      </w:tr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Puntos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0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8,00/10,00</w:t>
            </w:r>
          </w:p>
        </w:tc>
      </w:tr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0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80,00</w:t>
            </w: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 de 100,00</w:t>
            </w:r>
          </w:p>
        </w:tc>
      </w:tr>
      <w:tr w:rsidR="00803389" w:rsidRPr="005E0FF2" w:rsidTr="00634AA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803389" w:rsidRPr="00634AA0" w:rsidRDefault="00803389" w:rsidP="00634AA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</w:rPr>
              <w:t>Comentario 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803389" w:rsidRPr="00634AA0" w:rsidRDefault="00803389" w:rsidP="00634AA0">
            <w:pPr>
              <w:spacing w:after="100" w:afterAutospacing="1" w:line="240" w:lineRule="auto"/>
              <w:rPr>
                <w:rFonts w:ascii="Segoe UI" w:hAnsi="Segoe UI" w:cs="Segoe UI"/>
                <w:color w:val="212529"/>
                <w:sz w:val="23"/>
                <w:szCs w:val="23"/>
              </w:rPr>
            </w:pPr>
            <w:r w:rsidRPr="00634AA0">
              <w:rPr>
                <w:rFonts w:ascii="Segoe UI" w:hAnsi="Segoe UI" w:cs="Segoe UI"/>
                <w:color w:val="212529"/>
                <w:sz w:val="23"/>
                <w:szCs w:val="23"/>
              </w:rPr>
              <w:t>Aprobado</w:t>
            </w:r>
          </w:p>
        </w:tc>
      </w:tr>
    </w:tbl>
    <w:p w:rsidR="00803389" w:rsidRPr="00634AA0" w:rsidRDefault="00803389" w:rsidP="00634AA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634AA0">
        <w:rPr>
          <w:rFonts w:ascii="Arial" w:hAnsi="Arial" w:cs="Arial"/>
          <w:vanish/>
          <w:sz w:val="16"/>
          <w:szCs w:val="16"/>
        </w:rPr>
        <w:t>Principio del formulario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Las ideas juntistas aplicadas en  América provienen del pensamiento: 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2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Francés de Montesquieu.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2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Norteamericano de Jefferson.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2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Originario de Norte América y sus instituciones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29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Originario de España y la Universidad de Salamanca.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Originario de España y la Universidad de Salamanca.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3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 Cuál de los siguientes aspectos no forma parte de una Capitulación?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1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Instrucciones de Principios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Mercedes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Licencia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Obligaciones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Instrucciones de Principios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3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¿Qué caracterizó al sistema electoral antes de la reforma de la Ley Sáenz Peña?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La igualdad del sufragio.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participación de las minorías. 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8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El fraude electoral.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3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universalidad y representatividad del voto.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El fraude electoral.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4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El derecho de presentación conferido por el Real Patronato Indiano consistía en: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facultad del Papa de presentar al Rey candidatos para cubrir cargos eclesiásticos.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autoridad real para seleccionar los candidatos y cubrir cargos eclesiásticos en España.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3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facultad del rey de nombrar personas en cargos eclesiásticos.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atribución de la Audiencia para presentar candidatos a cubrir cargos eclesiásticos en América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facultad del Rey de proponer personas para cubrir cargos eclesiásticos en la Iglesia en América.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u w:val="single"/>
          <w:lang w:val="es-ES"/>
        </w:rPr>
        <w:t> 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 facultad del rey de nombrar personas en cargos eclesiásticos.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4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¿Qué propuestas trató la Convención Nacional reformadora de 1860?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Las propuestas de reforma presentadas por las provincias del litoral.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7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Las propuestas de reforma presentadas por la provincia de Buenos Aires.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Las propuestas de reforma presentadas por las provincias altoperuanas.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4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Las propuestas de reforma presentadas por las provincias de Córdoba y Santa Fe.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Las propuestas de reforma presentadas por la provincia de Buenos Aires.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5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El Decreto de Supresión de Honores, del 6 de diciembre de 1810 establece: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1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igualdad entre los miembros de la Junta, y se prohíben honores a las esposas de los funcionarios públicos.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Establece la denominada “</w:t>
      </w:r>
      <w:r w:rsidRPr="00634AA0">
        <w:rPr>
          <w:rFonts w:ascii="Segoe UI" w:hAnsi="Segoe UI" w:cs="Segoe UI"/>
          <w:i/>
          <w:iCs/>
          <w:color w:val="000000"/>
          <w:sz w:val="23"/>
          <w:szCs w:val="23"/>
          <w:lang w:val="es-ES"/>
        </w:rPr>
        <w:t>libertad de vientres”</w:t>
      </w: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 y la supresión de títulos y honores a los Reyes.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Establece la supresión del Sistema de Castas impuesto en América por la corona española.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supresión de honores y trato igualitario a la jerarquía de la iglesia, en particular al clero español.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 igualdad entre los miembros de la Junta, y se prohíben honores a las esposas de los funcionarios públicos.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5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¿Qué política adopta Hipólito Yrigoyen en el contexto de la Primera Guerra Mundial?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Apoya a los Aliados.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7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La neutralidad. 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Apoya a la Triple Alianza.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5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El intervencionismo. 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 neutralidad.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6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¿Qué dispuso la Asamblea General Constituyente de 1813 respecto a la esclavitud?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regulación del trabajo esclavo según la legislación británica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Un censo de esclavos y propietarios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Implementó el sistema de esclavitud de la Revolución Francesa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4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libertad de vientres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 libertad de vientres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Incorrecta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-0,50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6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¿En qué principio se asienta el Sistema Federal, sobre el que se redactó la Constitución Nacional de 1853?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En el principio que determina, </w:t>
      </w:r>
      <w:r w:rsidRPr="00634AA0">
        <w:rPr>
          <w:rFonts w:ascii="Segoe UI" w:hAnsi="Segoe UI" w:cs="Segoe UI"/>
          <w:i/>
          <w:iCs/>
          <w:color w:val="000000"/>
          <w:sz w:val="23"/>
          <w:szCs w:val="23"/>
          <w:lang w:val="es-ES"/>
        </w:rPr>
        <w:t>“que las provincias ceden la totalidad de su soberanía al Estado nacional, conservando sus instituciones, pero bajo control del Congreso Nacional.”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En el principio donde se establece que cada provincia conserva ,</w:t>
      </w:r>
      <w:r w:rsidRPr="00634AA0">
        <w:rPr>
          <w:rFonts w:ascii="Segoe UI" w:hAnsi="Segoe UI" w:cs="Segoe UI"/>
          <w:i/>
          <w:iCs/>
          <w:color w:val="000000"/>
          <w:sz w:val="23"/>
          <w:szCs w:val="23"/>
          <w:lang w:val="es-ES"/>
        </w:rPr>
        <w:t>“su soberanía e independencia; se gobierna según sus propias instituciones, y la elección de sus magistrados y legisladores se verifica exclusivamente por la libre voluntad de sus habitantes.”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8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En el principio que establece,</w:t>
      </w:r>
      <w:r w:rsidRPr="00634AA0">
        <w:rPr>
          <w:rFonts w:ascii="Segoe UI" w:hAnsi="Segoe UI" w:cs="Segoe UI"/>
          <w:i/>
          <w:iCs/>
          <w:color w:val="000000"/>
          <w:sz w:val="23"/>
          <w:szCs w:val="23"/>
          <w:lang w:val="es-ES"/>
        </w:rPr>
        <w:t>“la federalización de la ciudad de Buenos Aires y la distribución entre las provincias de la renta de la Aduana.”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6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En el principio de la </w:t>
      </w:r>
      <w:r w:rsidRPr="00634AA0">
        <w:rPr>
          <w:rFonts w:ascii="Segoe UI" w:hAnsi="Segoe UI" w:cs="Segoe UI"/>
          <w:i/>
          <w:iCs/>
          <w:color w:val="000000"/>
          <w:sz w:val="23"/>
          <w:szCs w:val="23"/>
          <w:lang w:val="es-ES"/>
        </w:rPr>
        <w:t>“libre determinación de los pueblos, que permite a cualquier provincia integrante de la Confederación Argentina, a integrarse o separarse de acuerdo a una ley que dictará el Congreso de la Nación.”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En el principio donde se establece que cada provincia conserva ,</w:t>
      </w:r>
      <w:r w:rsidRPr="00634AA0">
        <w:rPr>
          <w:rFonts w:ascii="Segoe UI" w:hAnsi="Segoe UI" w:cs="Segoe UI"/>
          <w:i/>
          <w:iCs/>
          <w:color w:val="7D5A29"/>
          <w:sz w:val="23"/>
          <w:szCs w:val="23"/>
          <w:lang w:val="es-ES"/>
        </w:rPr>
        <w:t>“su soberanía e independencia; se gobierna según sus propias instituciones, y la elección de sus magistrados y legisladores se verifica exclusivamente por la libre voluntad de sus habitantes.”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7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Francisco Suárez fundamenta su doctrina sobre la soberanía popular con el siguiente argumento</w:t>
      </w: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: 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soberanía es intransferible y sólo la posee el soberano, es decir: el pueblo y el pacto se hace entre los miembros de la comunidad y no entre el pueblo y el monarca.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2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potestad política de un príncipe o monarca dimana del poder, pero no viene inmediatamente, sino mediante Dios, ya que sólo Dios confiere la potestad suprema al pueblo y éste es quien lo delega en el monarca.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sociedad en su estado natural es un caos y por eso no puede gobernarse asimismo sino por medio de su representante que es el monarca.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soberanía proviene de Dios al monarca y el monarca gobierna por el pueblo pero sin el pueblo.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 potestad política de un príncipe o monarca dimana del poder, pero no viene inmediatamente, sino mediante Dios, ya que sólo Dios confiere la potestad suprema al pueblo y éste es quien lo delega en el monarca.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7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Cuál era el motivo de la Circular del día 27 de Mayo, de comunicar a los pueblos del interior y ordenar se nombren y vengan a la capital los diputados, estableciendo que ellos han de irse incorporando a la </w:t>
      </w:r>
      <w:r w:rsidRPr="00634AA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val="es-ES"/>
        </w:rPr>
        <w:t>Junta “conforme y por el orden de su llegada a la capital, para que así, se hagan de la parte de confianza pública que conviene al mejor servicio del rey y gobierno de los pueblos".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 los efectos formales de participar a los realistas del interior.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convocatoria estaba dirigida esencialmente al Cabildo de Córdoba y de las provincias del Litoral.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convocatoria estaba dirigida principalmente al Cabildo de Asunción del Paraguay, a lo que luego de agregaría la misión encabezada por el Dr. Manuel Belgrano.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79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Para consolidar posiciones, hacer trascender la revolución y por el rol que debería cumplir el interior en este proceso.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Para consolidar posiciones, hacer trascender la revolución y por el rol que debería cumplir el interior en este proceso.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8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En el marco del debate sobre la condición jurídico política de las Indias, Levene sostuvo: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Que las Indias eran colonias dependientes directamente de la monarquía.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Que el Virrey era la máxima autoridad peninsular.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Que las autoridades indianas tenían absoluta libertad política y de decisión sobre los dominios de América. 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4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Que el gobierno indiano tenía cierta autonomía y órganos independientes e iguales a los de Castilla.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Que el gobierno indiano tenía cierta autonomía y órganos independientes e iguales a los de Castilla.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8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¿Qué tratado o pacto establece: “</w:t>
      </w:r>
      <w:r w:rsidRPr="00634AA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val="es-ES"/>
        </w:rPr>
        <w:t>Invitar a todas las demás provincias de la República, cuando estén en plena libertad y tranquilidad a reunirse en federación con las tres litorales; y a que por medio de un Congreso General Federativo se arregle la administración general del país bajo el sistema federal,...”?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Tratado de Benegas de 1820.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Pacto de Cañuelas de 1829.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Tratado de Cuadrilátero de 1822.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89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Pacto Federal de 1831.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Pacto Federal de 1831.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9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La capital del Imperio Incaico fue: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Machu-Picchu.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Tawantinsuyo.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Mayapán.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4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Cuzco.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Cuzco.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09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La economía incaica se basaba en cultivos de: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6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Terrenos con terrazas cultivables en base a obras de riego.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Terrenos con sistema de riego de milpas.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Terrenos del Estado repartidos en base al comportamiento de las tribus conquistadas.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09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Terrenos pertenecientes a las clases sociales superiores repartidos en encomiendas.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Terrenos con terrazas cultivables en base a obras de riego.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10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¿Cómo declara el Pacto de San José de Flores de 1859, a la provincia de Buenos Aires?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Se la declara como no integrante de la Confederación Argentina.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El Pacto de San José de Flores no menciona ningún tipo de declaración sobre la provincia de Buenos Aires.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3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Parte integrante de la Confederación Argentina.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Se abstiene en forma manifiesta de cualquier declaración.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Parte integrante de la Confederación Argentina.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10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El vecino que manifestó </w:t>
      </w:r>
      <w:r w:rsidRPr="00634AA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val="es-ES"/>
        </w:rPr>
        <w:t>“que Buenos Aires no tenía por sí solo derecho alguno a decidir sobre la legitimidad del gobierno de regencia sino en unión con toda la representación nacional, y mucho menos a elegirse un gobierno soberano, que sería lo mismo que romper la unidad de la Nación y establecer en ella tantas soberanías como pueblos”,</w:t>
      </w: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 fue: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6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Dr. Manuel Genaro Villota.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Obispo Benito Lué y Riega.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8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General Pascual Ruiz Huidobro.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0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Baltasar Hidalgo de Cisneros.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Dr. Manuel Genaro Villota.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  <w:lang w:val="es-ES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11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  <w:lang w:val="es-ES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 ¿</w:t>
      </w: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Qué tratado o acuerdo establece</w:t>
      </w:r>
      <w:r w:rsidRPr="00634AA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val="es-ES"/>
        </w:rPr>
        <w:t>: “que estando en la actualidad todas las provincias de la República en plena libertad y tranquilidad, ha llegado el caso previsto en el art. 16 del precitado tratado</w:t>
      </w: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 (Pacto Federal), </w:t>
      </w:r>
      <w:r w:rsidRPr="00634AA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val="es-ES"/>
        </w:rPr>
        <w:t>de arreglar por medio de un Congreso General federativo la administración general del país bajo el sistema federal"?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1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Tratado de Benegas de 1820.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2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Acuerdo de San Nicolás de 1852.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Tratado de Cuadrilátero de 1822.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Tratado de Pilar de 1820.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Acuerdo de San Nicolás de 1852.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</w:rPr>
      </w:pPr>
      <w:r w:rsidRPr="00634AA0">
        <w:rPr>
          <w:rFonts w:ascii="Segoe UI" w:hAnsi="Segoe UI" w:cs="Segoe UI"/>
          <w:color w:val="212529"/>
          <w:sz w:val="18"/>
          <w:szCs w:val="18"/>
        </w:rPr>
        <w:t>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</w:rPr>
      </w:pPr>
      <w:r w:rsidRPr="00634AA0">
        <w:rPr>
          <w:rFonts w:ascii="Segoe UI" w:hAnsi="Segoe UI" w:cs="Segoe UI"/>
          <w:color w:val="212529"/>
          <w:sz w:val="18"/>
          <w:szCs w:val="18"/>
        </w:rPr>
        <w:t>Puntúa 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115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¿Qué ocurrió con la Constitución de 1949, luego de la Revolución de 1955?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6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Se deja en suspenso su vigencia hasta su estudio por una Convención Constituyente.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7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No se la deroga.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8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Es derogada por un Decreto.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19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Se convoca a una Convención Constituyente para su tratamiento.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Es derogada por un Decreto.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</w:rPr>
      </w:pPr>
      <w:r w:rsidRPr="00634AA0">
        <w:rPr>
          <w:rFonts w:ascii="Segoe UI" w:hAnsi="Segoe UI" w:cs="Segoe UI"/>
          <w:color w:val="212529"/>
          <w:sz w:val="18"/>
          <w:szCs w:val="18"/>
        </w:rPr>
        <w:t>Incorrecta</w:t>
      </w:r>
    </w:p>
    <w:p w:rsidR="00803389" w:rsidRPr="00634AA0" w:rsidRDefault="00803389" w:rsidP="00634AA0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8"/>
          <w:szCs w:val="18"/>
        </w:rPr>
      </w:pPr>
      <w:r w:rsidRPr="00634AA0">
        <w:rPr>
          <w:rFonts w:ascii="Segoe UI" w:hAnsi="Segoe UI" w:cs="Segoe UI"/>
          <w:color w:val="212529"/>
          <w:sz w:val="18"/>
          <w:szCs w:val="18"/>
        </w:rPr>
        <w:t>Puntúa -0,50 sobre 0,50</w:t>
      </w:r>
    </w:p>
    <w:p w:rsidR="00803389" w:rsidRPr="00634AA0" w:rsidRDefault="00803389" w:rsidP="00634AA0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8"/>
          <w:szCs w:val="18"/>
        </w:rPr>
      </w:pPr>
      <w:r w:rsidRPr="00753384">
        <w:rPr>
          <w:rFonts w:ascii="Segoe UI" w:hAnsi="Segoe UI" w:cs="Segoe UI"/>
          <w:color w:val="212529"/>
          <w:sz w:val="18"/>
          <w:szCs w:val="18"/>
        </w:rPr>
        <w:pict>
          <v:shape id="_x0000_i1120" type="#_x0000_t75" style="width:1in;height:1in">
            <v:imagedata r:id="rId4" o:title=""/>
          </v:shape>
        </w:pict>
      </w:r>
      <w:r w:rsidRPr="00634AA0">
        <w:rPr>
          <w:rFonts w:ascii="Segoe UI" w:hAnsi="Segoe UI" w:cs="Segoe UI"/>
          <w:color w:val="212529"/>
          <w:sz w:val="18"/>
          <w:szCs w:val="18"/>
        </w:rPr>
        <w:t>Marcar pregunta</w:t>
      </w:r>
    </w:p>
    <w:p w:rsidR="00803389" w:rsidRPr="00634AA0" w:rsidRDefault="00803389" w:rsidP="00634AA0">
      <w:pPr>
        <w:spacing w:after="0" w:line="240" w:lineRule="auto"/>
        <w:ind w:left="2025" w:right="-15"/>
        <w:outlineLvl w:val="3"/>
        <w:rPr>
          <w:rFonts w:ascii="Segoe UI" w:hAnsi="Segoe UI" w:cs="Segoe UI"/>
          <w:color w:val="000000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000000"/>
          <w:sz w:val="24"/>
          <w:szCs w:val="24"/>
          <w:lang w:val="es-ES"/>
        </w:rPr>
        <w:t>Enunciado de la pregunta</w:t>
      </w:r>
    </w:p>
    <w:p w:rsidR="00803389" w:rsidRPr="00634AA0" w:rsidRDefault="00803389" w:rsidP="00634AA0">
      <w:pPr>
        <w:spacing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b/>
          <w:bCs/>
          <w:color w:val="000000"/>
          <w:sz w:val="23"/>
          <w:szCs w:val="23"/>
          <w:lang w:val="es-ES"/>
        </w:rPr>
        <w:t>En el marco del debate sobre la condición jurídico política de las Indias, la Academia Nacional de Historia adoptó: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634AA0">
        <w:rPr>
          <w:rFonts w:ascii="Segoe UI" w:hAnsi="Segoe UI" w:cs="Segoe UI"/>
          <w:color w:val="000000"/>
          <w:sz w:val="23"/>
          <w:szCs w:val="23"/>
        </w:rPr>
        <w:t>Seleccione una: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21" type="#_x0000_t75" style="width:20.25pt;height:16.5pt">
            <v:imagedata r:id="rId6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a.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tesis de que las Indias eran dominios y señoríos de Castilla.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22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b.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tesis de que se trató de un territorio de naturaleza jurídica </w:t>
      </w:r>
      <w:r w:rsidRPr="00634AA0">
        <w:rPr>
          <w:rFonts w:ascii="Segoe UI" w:hAnsi="Segoe UI" w:cs="Segoe UI"/>
          <w:i/>
          <w:iCs/>
          <w:color w:val="000000"/>
          <w:sz w:val="23"/>
          <w:szCs w:val="23"/>
          <w:lang w:val="es-ES"/>
        </w:rPr>
        <w:t>sui generis.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23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c.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tesis de que las Indias no eran colonias.</w: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</w:rPr>
      </w:pPr>
      <w:r w:rsidRPr="00753384">
        <w:rPr>
          <w:rFonts w:ascii="Segoe UI" w:hAnsi="Segoe UI" w:cs="Segoe UI"/>
          <w:color w:val="000000"/>
          <w:sz w:val="23"/>
          <w:szCs w:val="23"/>
        </w:rPr>
        <w:pict>
          <v:shape id="_x0000_i1124" type="#_x0000_t75" style="width:20.25pt;height:16.5pt">
            <v:imagedata r:id="rId5" o:title=""/>
          </v:shape>
        </w:pict>
      </w:r>
    </w:p>
    <w:p w:rsidR="00803389" w:rsidRPr="00634AA0" w:rsidRDefault="00803389" w:rsidP="00634AA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d.</w:t>
      </w:r>
    </w:p>
    <w:p w:rsidR="00803389" w:rsidRPr="00634AA0" w:rsidRDefault="00803389" w:rsidP="00634AA0">
      <w:pPr>
        <w:spacing w:after="120" w:line="240" w:lineRule="auto"/>
        <w:rPr>
          <w:rFonts w:ascii="Segoe UI" w:hAnsi="Segoe UI" w:cs="Segoe UI"/>
          <w:color w:val="000000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000000"/>
          <w:sz w:val="23"/>
          <w:szCs w:val="23"/>
          <w:lang w:val="es-ES"/>
        </w:rPr>
        <w:t>La tesis de que las Indias eran territorios de ultramar.</w:t>
      </w:r>
    </w:p>
    <w:p w:rsidR="00803389" w:rsidRPr="00634AA0" w:rsidRDefault="00803389" w:rsidP="00634AA0">
      <w:pPr>
        <w:shd w:val="clear" w:color="auto" w:fill="FFFFFF"/>
        <w:spacing w:after="0" w:line="240" w:lineRule="auto"/>
        <w:ind w:left="2025" w:right="-15"/>
        <w:outlineLvl w:val="3"/>
        <w:rPr>
          <w:rFonts w:ascii="Segoe UI" w:hAnsi="Segoe UI" w:cs="Segoe UI"/>
          <w:color w:val="7D5A29"/>
          <w:sz w:val="24"/>
          <w:szCs w:val="24"/>
          <w:lang w:val="es-ES"/>
        </w:rPr>
      </w:pPr>
      <w:r w:rsidRPr="00634AA0">
        <w:rPr>
          <w:rFonts w:ascii="Segoe UI" w:hAnsi="Segoe UI" w:cs="Segoe UI"/>
          <w:color w:val="7D5A29"/>
          <w:sz w:val="24"/>
          <w:szCs w:val="24"/>
          <w:lang w:val="es-ES"/>
        </w:rPr>
        <w:t>Retroalimentación</w:t>
      </w:r>
    </w:p>
    <w:p w:rsidR="00803389" w:rsidRPr="00634AA0" w:rsidRDefault="00803389" w:rsidP="00634AA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val="es-ES"/>
        </w:rPr>
      </w:pPr>
      <w:r w:rsidRPr="00634AA0">
        <w:rPr>
          <w:rFonts w:ascii="Segoe UI" w:hAnsi="Segoe UI" w:cs="Segoe UI"/>
          <w:color w:val="7D5A29"/>
          <w:sz w:val="23"/>
          <w:szCs w:val="23"/>
          <w:lang w:val="es-ES"/>
        </w:rPr>
        <w:t>La respuesta correcta es: La tesis de que las Indias no eran colonias.</w:t>
      </w:r>
    </w:p>
    <w:p w:rsidR="00803389" w:rsidRPr="00634AA0" w:rsidRDefault="00803389" w:rsidP="00634AA0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634AA0">
        <w:rPr>
          <w:rFonts w:ascii="Arial" w:hAnsi="Arial" w:cs="Arial"/>
          <w:vanish/>
          <w:sz w:val="16"/>
          <w:szCs w:val="16"/>
        </w:rPr>
        <w:t>Final del formulario</w:t>
      </w:r>
    </w:p>
    <w:p w:rsidR="00803389" w:rsidRDefault="00803389">
      <w:bookmarkStart w:id="0" w:name="_GoBack"/>
      <w:bookmarkEnd w:id="0"/>
    </w:p>
    <w:sectPr w:rsidR="00803389" w:rsidSect="00753384">
      <w:pgSz w:w="12240" w:h="15840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AA0"/>
    <w:rsid w:val="0018613B"/>
    <w:rsid w:val="005E0FF2"/>
    <w:rsid w:val="00634AA0"/>
    <w:rsid w:val="0075317D"/>
    <w:rsid w:val="00753384"/>
    <w:rsid w:val="00803389"/>
    <w:rsid w:val="00E2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8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9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9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2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32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3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0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9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1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20919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89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0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0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93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96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1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5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92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2090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95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4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0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89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0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94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37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32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0908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9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1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34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00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89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0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0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1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18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0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3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41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091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29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5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4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43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5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091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9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30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20938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1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7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4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17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2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2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9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9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3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1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42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89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05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4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2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16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23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209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42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2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4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2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19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89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40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0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2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093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16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4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2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1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093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8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8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1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1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1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89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89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3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8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0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2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93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2093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3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09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20930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4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93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8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1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4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89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0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2093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02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07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921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1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2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2094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24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09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21720933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20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9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20933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172090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3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1928</Words>
  <Characters>10604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NERINA ARMESTO</dc:creator>
  <cp:keywords/>
  <dc:description/>
  <cp:lastModifiedBy>WinuE</cp:lastModifiedBy>
  <cp:revision>2</cp:revision>
  <dcterms:created xsi:type="dcterms:W3CDTF">2021-02-11T22:24:00Z</dcterms:created>
  <dcterms:modified xsi:type="dcterms:W3CDTF">2021-02-18T14:30:00Z</dcterms:modified>
</cp:coreProperties>
</file>