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28" w:rsidRPr="00C039D1" w:rsidRDefault="00C32A28" w:rsidP="006E0A46">
      <w:pPr>
        <w:ind w:left="-284"/>
        <w:jc w:val="center"/>
        <w:rPr>
          <w:rFonts w:ascii="Consolas" w:eastAsia="Arial Unicode MS" w:hAnsi="Consolas" w:cs="Arial Unicode MS"/>
          <w:b/>
          <w:sz w:val="30"/>
          <w:szCs w:val="30"/>
          <w:u w:val="single"/>
        </w:rPr>
      </w:pPr>
      <w:r w:rsidRPr="00C039D1">
        <w:rPr>
          <w:rFonts w:ascii="Consolas" w:eastAsia="Arial Unicode MS" w:hAnsi="Consolas" w:cs="Arial Unicode MS"/>
          <w:b/>
          <w:sz w:val="30"/>
          <w:szCs w:val="30"/>
          <w:u w:val="single"/>
        </w:rPr>
        <w:t xml:space="preserve">Capitulo </w:t>
      </w:r>
      <w:r w:rsidR="0020109C">
        <w:rPr>
          <w:rFonts w:ascii="Consolas" w:eastAsia="Arial Unicode MS" w:hAnsi="Consolas" w:cs="Arial Unicode MS"/>
          <w:b/>
          <w:sz w:val="30"/>
          <w:szCs w:val="30"/>
          <w:u w:val="single"/>
        </w:rPr>
        <w:t>2</w:t>
      </w:r>
      <w:r w:rsidR="006E0A46">
        <w:rPr>
          <w:rFonts w:ascii="Consolas" w:eastAsia="Arial Unicode MS" w:hAnsi="Consolas" w:cs="Arial Unicode MS"/>
          <w:b/>
          <w:sz w:val="30"/>
          <w:szCs w:val="30"/>
          <w:u w:val="single"/>
        </w:rPr>
        <w:t>7</w:t>
      </w:r>
      <w:r w:rsidR="00137B9C">
        <w:rPr>
          <w:rFonts w:ascii="Consolas" w:eastAsia="Arial Unicode MS" w:hAnsi="Consolas" w:cs="Arial Unicode MS"/>
          <w:b/>
          <w:sz w:val="30"/>
          <w:szCs w:val="30"/>
          <w:u w:val="single"/>
        </w:rPr>
        <w:t xml:space="preserve"> –</w:t>
      </w:r>
      <w:r w:rsidR="001310D8">
        <w:rPr>
          <w:rFonts w:ascii="Consolas" w:eastAsia="Arial Unicode MS" w:hAnsi="Consolas" w:cs="Arial Unicode MS"/>
          <w:b/>
          <w:sz w:val="30"/>
          <w:szCs w:val="30"/>
          <w:u w:val="single"/>
        </w:rPr>
        <w:t xml:space="preserve"> </w:t>
      </w:r>
      <w:r w:rsidR="006E0A46">
        <w:rPr>
          <w:rFonts w:ascii="Consolas" w:eastAsia="Arial Unicode MS" w:hAnsi="Consolas" w:cs="Arial Unicode MS"/>
          <w:b/>
          <w:sz w:val="30"/>
          <w:szCs w:val="30"/>
          <w:u w:val="single"/>
        </w:rPr>
        <w:t>La estabilización de la economía: el papel del BCRA</w:t>
      </w:r>
    </w:p>
    <w:p w:rsidR="007452B8" w:rsidRDefault="007452B8" w:rsidP="00C32A28">
      <w:pPr>
        <w:rPr>
          <w:rFonts w:ascii="Consolas" w:eastAsia="Arial Unicode MS" w:hAnsi="Consolas" w:cs="Arial Unicode MS"/>
          <w:sz w:val="20"/>
          <w:szCs w:val="20"/>
        </w:rPr>
      </w:pPr>
    </w:p>
    <w:p w:rsidR="006E0A46" w:rsidRDefault="006E0A46" w:rsidP="00C32A28">
      <w:pPr>
        <w:rPr>
          <w:rFonts w:ascii="Consolas" w:eastAsia="Arial Unicode MS" w:hAnsi="Consolas" w:cs="Arial Unicode MS"/>
          <w:sz w:val="20"/>
          <w:szCs w:val="20"/>
        </w:rPr>
      </w:pPr>
      <w:r>
        <w:rPr>
          <w:rFonts w:ascii="Consolas" w:eastAsia="Arial Unicode MS" w:hAnsi="Consolas" w:cs="Arial Unicode MS"/>
          <w:sz w:val="20"/>
          <w:szCs w:val="20"/>
        </w:rPr>
        <w:t>La política monetaria es uno de los dos tipos de estabilización.</w:t>
      </w:r>
    </w:p>
    <w:p w:rsidR="006E0A46" w:rsidRDefault="006E0A46" w:rsidP="00C32A28">
      <w:pPr>
        <w:rPr>
          <w:rFonts w:ascii="Consolas" w:eastAsia="Arial Unicode MS" w:hAnsi="Consolas" w:cs="Arial Unicode MS"/>
          <w:sz w:val="20"/>
          <w:szCs w:val="20"/>
        </w:rPr>
      </w:pPr>
      <w:r>
        <w:rPr>
          <w:rFonts w:ascii="Consolas" w:eastAsia="Arial Unicode MS" w:hAnsi="Consolas" w:cs="Arial Unicode MS"/>
          <w:sz w:val="20"/>
          <w:szCs w:val="20"/>
        </w:rPr>
        <w:t xml:space="preserve">Aunque el Banco Central </w:t>
      </w:r>
      <w:r w:rsidR="00392F04">
        <w:rPr>
          <w:rFonts w:ascii="Consolas" w:eastAsia="Arial Unicode MS" w:hAnsi="Consolas" w:cs="Arial Unicode MS"/>
          <w:sz w:val="20"/>
          <w:szCs w:val="20"/>
        </w:rPr>
        <w:t>actúa</w:t>
      </w:r>
      <w:r>
        <w:rPr>
          <w:rFonts w:ascii="Consolas" w:eastAsia="Arial Unicode MS" w:hAnsi="Consolas" w:cs="Arial Unicode MS"/>
          <w:sz w:val="20"/>
          <w:szCs w:val="20"/>
        </w:rPr>
        <w:t xml:space="preserve"> controlando la oferta monetaria, los medios centran la atención en sus decisiones sobre el tipo de interés.</w:t>
      </w:r>
    </w:p>
    <w:p w:rsidR="006E0A46" w:rsidRDefault="006E0A46" w:rsidP="00C32A28">
      <w:pPr>
        <w:rPr>
          <w:rFonts w:ascii="Consolas" w:eastAsia="Arial Unicode MS" w:hAnsi="Consolas" w:cs="Arial Unicode MS"/>
          <w:sz w:val="20"/>
          <w:szCs w:val="20"/>
        </w:rPr>
      </w:pPr>
      <w:r>
        <w:rPr>
          <w:rFonts w:ascii="Consolas" w:eastAsia="Arial Unicode MS" w:hAnsi="Consolas" w:cs="Arial Unicode MS"/>
          <w:sz w:val="20"/>
          <w:szCs w:val="20"/>
        </w:rPr>
        <w:t>No existe contradicción entre estas dos formas de ver la política monetaria, ya que la capacidad del Banco Central para controlar la oferta monetaria, es la fuente de su capacidad para controlar los tipos de interés.</w:t>
      </w:r>
    </w:p>
    <w:p w:rsidR="00392F04" w:rsidRDefault="00392F04" w:rsidP="00C32A28">
      <w:pPr>
        <w:rPr>
          <w:rFonts w:ascii="Consolas" w:eastAsia="Arial Unicode MS" w:hAnsi="Consolas" w:cs="Arial Unicode MS"/>
          <w:sz w:val="20"/>
          <w:szCs w:val="20"/>
        </w:rPr>
      </w:pPr>
    </w:p>
    <w:p w:rsidR="00392F04" w:rsidRDefault="00392F04" w:rsidP="00C32A28">
      <w:pPr>
        <w:rPr>
          <w:rFonts w:ascii="Consolas" w:eastAsia="Arial Unicode MS" w:hAnsi="Consolas" w:cs="Arial Unicode MS"/>
          <w:sz w:val="20"/>
          <w:szCs w:val="20"/>
        </w:rPr>
      </w:pPr>
      <w:r w:rsidRPr="00392F04">
        <w:rPr>
          <w:rFonts w:ascii="Consolas" w:eastAsia="Arial Unicode MS" w:hAnsi="Consolas" w:cs="Arial Unicode MS"/>
          <w:noProof/>
          <w:sz w:val="20"/>
          <w:szCs w:val="20"/>
          <w:lang w:val="es-ES"/>
        </w:rPr>
        <w:pict>
          <v:shapetype id="_x0000_t202" coordsize="21600,21600" o:spt="202" path="m,l,21600r21600,l21600,xe">
            <v:stroke joinstyle="miter"/>
            <v:path gradientshapeok="t" o:connecttype="rect"/>
          </v:shapetype>
          <v:shape id="_x0000_s1026" type="#_x0000_t202" style="position:absolute;margin-left:380.25pt;margin-top:1.1pt;width:141.75pt;height:56.45pt;z-index:251660288;mso-height-percent:200;mso-height-percent:200;mso-width-relative:margin;mso-height-relative:margin">
            <v:textbox style="mso-fit-shape-to-text:t">
              <w:txbxContent>
                <w:p w:rsidR="00392F04" w:rsidRPr="00392F04" w:rsidRDefault="00392F04">
                  <w:pPr>
                    <w:rPr>
                      <w:rFonts w:ascii="Consolas" w:hAnsi="Consolas"/>
                      <w:sz w:val="18"/>
                      <w:szCs w:val="18"/>
                      <w:lang w:val="es-ES"/>
                    </w:rPr>
                  </w:pPr>
                  <w:r>
                    <w:rPr>
                      <w:rFonts w:ascii="Consolas" w:hAnsi="Consolas"/>
                      <w:b/>
                      <w:sz w:val="18"/>
                      <w:szCs w:val="18"/>
                      <w:lang w:val="es-ES"/>
                    </w:rPr>
                    <w:t>Mercado de dinero:</w:t>
                  </w:r>
                  <w:r>
                    <w:rPr>
                      <w:rFonts w:ascii="Consolas" w:hAnsi="Consolas"/>
                      <w:sz w:val="18"/>
                      <w:szCs w:val="18"/>
                      <w:lang w:val="es-ES"/>
                    </w:rPr>
                    <w:t xml:space="preserve"> tiene una función de demanda y una función de oferta.</w:t>
                  </w:r>
                </w:p>
              </w:txbxContent>
            </v:textbox>
          </v:shape>
        </w:pict>
      </w:r>
      <w:r>
        <w:rPr>
          <w:rFonts w:ascii="Consolas" w:eastAsia="Arial Unicode MS" w:hAnsi="Consolas" w:cs="Arial Unicode MS"/>
          <w:sz w:val="20"/>
          <w:szCs w:val="20"/>
        </w:rPr>
        <w:t xml:space="preserve">Tipo de interés nominal </w:t>
      </w:r>
      <w:r w:rsidRPr="00392F04">
        <w:rPr>
          <w:rFonts w:ascii="Consolas" w:eastAsia="Arial Unicode MS" w:hAnsi="Consolas" w:cs="Arial Unicode MS"/>
          <w:sz w:val="20"/>
          <w:szCs w:val="20"/>
        </w:rPr>
        <w:sym w:font="Wingdings" w:char="F0E0"/>
      </w:r>
      <w:r>
        <w:rPr>
          <w:rFonts w:ascii="Consolas" w:eastAsia="Arial Unicode MS" w:hAnsi="Consolas" w:cs="Arial Unicode MS"/>
          <w:sz w:val="20"/>
          <w:szCs w:val="20"/>
        </w:rPr>
        <w:t xml:space="preserve"> Se determina en el mercado de dinero.</w:t>
      </w:r>
    </w:p>
    <w:p w:rsidR="00392F04" w:rsidRDefault="00392F04" w:rsidP="00C32A28">
      <w:pPr>
        <w:rPr>
          <w:rFonts w:ascii="Consolas" w:eastAsia="Arial Unicode MS" w:hAnsi="Consolas" w:cs="Arial Unicode MS"/>
          <w:sz w:val="20"/>
          <w:szCs w:val="20"/>
        </w:rPr>
      </w:pPr>
    </w:p>
    <w:p w:rsidR="00392F04" w:rsidRDefault="00392F04" w:rsidP="00C32A28">
      <w:pPr>
        <w:rPr>
          <w:rFonts w:ascii="Consolas" w:eastAsia="Arial Unicode MS" w:hAnsi="Consolas" w:cs="Arial Unicode MS"/>
          <w:sz w:val="20"/>
          <w:szCs w:val="20"/>
        </w:rPr>
      </w:pPr>
    </w:p>
    <w:p w:rsidR="00392F04" w:rsidRDefault="00392F04" w:rsidP="00C32A28">
      <w:pPr>
        <w:rPr>
          <w:rFonts w:ascii="Consolas" w:eastAsia="Arial Unicode MS" w:hAnsi="Consolas" w:cs="Arial Unicode MS"/>
          <w:sz w:val="20"/>
          <w:szCs w:val="20"/>
        </w:rPr>
      </w:pPr>
      <w:r>
        <w:rPr>
          <w:rFonts w:ascii="Consolas" w:eastAsia="Arial Unicode MS" w:hAnsi="Consolas" w:cs="Arial Unicode MS"/>
          <w:sz w:val="20"/>
          <w:szCs w:val="20"/>
          <w:u w:val="single"/>
        </w:rPr>
        <w:t>DEMANDA DE DINERO</w:t>
      </w:r>
    </w:p>
    <w:p w:rsidR="00407EEC" w:rsidRDefault="00392F04" w:rsidP="00C32A28">
      <w:pPr>
        <w:rPr>
          <w:rFonts w:ascii="Consolas" w:eastAsia="Arial Unicode MS" w:hAnsi="Consolas" w:cs="Arial Unicode MS"/>
          <w:sz w:val="20"/>
          <w:szCs w:val="20"/>
        </w:rPr>
      </w:pPr>
      <w:r>
        <w:rPr>
          <w:rFonts w:ascii="Consolas" w:eastAsia="Arial Unicode MS" w:hAnsi="Consolas" w:cs="Arial Unicode MS"/>
          <w:sz w:val="20"/>
          <w:szCs w:val="20"/>
        </w:rPr>
        <w:t>Cantidad de riqueza en dinero que deciden tener los hogares y las empresas. Viene determinada por la comparación de costos y beneficios. El costo de oportunidad de tener una cierta cantidad</w:t>
      </w:r>
      <w:r w:rsidR="00407EEC">
        <w:rPr>
          <w:rFonts w:ascii="Consolas" w:eastAsia="Arial Unicode MS" w:hAnsi="Consolas" w:cs="Arial Unicode MS"/>
          <w:sz w:val="20"/>
          <w:szCs w:val="20"/>
        </w:rPr>
        <w:t xml:space="preserve"> de dinero, son los intereses que podrían obtenerse teniendo activos portadores de intereses, en vez de dinero.</w:t>
      </w:r>
    </w:p>
    <w:p w:rsidR="00407EEC" w:rsidRDefault="00407EEC" w:rsidP="00C32A28">
      <w:pPr>
        <w:rPr>
          <w:rFonts w:ascii="Consolas" w:eastAsia="Arial Unicode MS" w:hAnsi="Consolas" w:cs="Arial Unicode MS"/>
          <w:sz w:val="20"/>
          <w:szCs w:val="20"/>
        </w:rPr>
      </w:pPr>
      <w:r>
        <w:rPr>
          <w:rFonts w:ascii="Consolas" w:eastAsia="Arial Unicode MS" w:hAnsi="Consolas" w:cs="Arial Unicode MS"/>
          <w:sz w:val="20"/>
          <w:szCs w:val="20"/>
        </w:rPr>
        <w:t>El beneficio del dinero, es su utilidad para realizar transacciones.</w:t>
      </w:r>
    </w:p>
    <w:p w:rsidR="00E42540" w:rsidRDefault="00407EEC" w:rsidP="00C32A28">
      <w:pPr>
        <w:rPr>
          <w:rFonts w:ascii="Consolas" w:eastAsia="Arial Unicode MS" w:hAnsi="Consolas" w:cs="Arial Unicode MS"/>
          <w:sz w:val="20"/>
          <w:szCs w:val="20"/>
        </w:rPr>
      </w:pPr>
      <w:r>
        <w:rPr>
          <w:rFonts w:ascii="Consolas" w:eastAsia="Arial Unicode MS" w:hAnsi="Consolas" w:cs="Arial Unicode MS"/>
          <w:sz w:val="20"/>
          <w:szCs w:val="20"/>
        </w:rPr>
        <w:t>Manteniéndose todo lo demás constante, un aumento del volumen de transacciones eleva la demanda de dinero.</w:t>
      </w:r>
    </w:p>
    <w:p w:rsidR="00E42540" w:rsidRDefault="00E42540" w:rsidP="00C32A28">
      <w:pPr>
        <w:rPr>
          <w:rFonts w:ascii="Consolas" w:eastAsia="Arial Unicode MS" w:hAnsi="Consolas" w:cs="Arial Unicode MS"/>
          <w:sz w:val="20"/>
          <w:szCs w:val="20"/>
        </w:rPr>
      </w:pPr>
    </w:p>
    <w:p w:rsidR="00C10A96" w:rsidRDefault="00FE6880" w:rsidP="00C32A28">
      <w:pPr>
        <w:rPr>
          <w:rFonts w:ascii="Consolas" w:eastAsia="Arial Unicode MS" w:hAnsi="Consolas" w:cs="Arial Unicode MS"/>
          <w:sz w:val="20"/>
          <w:szCs w:val="20"/>
        </w:rPr>
      </w:pPr>
      <w:r>
        <w:rPr>
          <w:rFonts w:ascii="Consolas" w:eastAsia="Arial Unicode MS" w:hAnsi="Consolas" w:cs="Arial Unicode MS"/>
          <w:sz w:val="20"/>
          <w:szCs w:val="20"/>
        </w:rPr>
        <w:t xml:space="preserve">Curva de demanda de dinero: </w:t>
      </w:r>
      <w:r w:rsidR="00C10A96">
        <w:rPr>
          <w:rFonts w:ascii="Consolas" w:eastAsia="Arial Unicode MS" w:hAnsi="Consolas" w:cs="Arial Unicode MS"/>
          <w:sz w:val="20"/>
          <w:szCs w:val="20"/>
        </w:rPr>
        <w:t xml:space="preserve">relaciona la cantidad agregada de dinero y el tipo de interés nominal. </w:t>
      </w:r>
    </w:p>
    <w:p w:rsidR="00C10A96" w:rsidRDefault="00C10A96" w:rsidP="00C32A28">
      <w:pPr>
        <w:rPr>
          <w:rFonts w:ascii="Consolas" w:eastAsia="Arial Unicode MS" w:hAnsi="Consolas" w:cs="Arial Unicode MS"/>
          <w:sz w:val="20"/>
          <w:szCs w:val="20"/>
        </w:rPr>
      </w:pPr>
    </w:p>
    <w:p w:rsidR="00C10A96" w:rsidRDefault="00C10A96" w:rsidP="00C32A28">
      <w:pPr>
        <w:rPr>
          <w:rFonts w:ascii="Consolas" w:eastAsia="Arial Unicode MS" w:hAnsi="Consolas" w:cs="Arial Unicode MS"/>
          <w:sz w:val="20"/>
          <w:szCs w:val="20"/>
        </w:rPr>
      </w:pPr>
    </w:p>
    <w:p w:rsidR="00FE6880" w:rsidRDefault="00FE6880" w:rsidP="00C32A28">
      <w:pPr>
        <w:rPr>
          <w:rFonts w:ascii="Consolas" w:eastAsia="Arial Unicode MS" w:hAnsi="Consolas" w:cs="Arial Unicode MS"/>
          <w:sz w:val="20"/>
          <w:szCs w:val="20"/>
        </w:rPr>
      </w:pPr>
      <w:r>
        <w:rPr>
          <w:rFonts w:ascii="Consolas" w:eastAsia="Arial Unicode MS" w:hAnsi="Consolas" w:cs="Arial Unicode MS"/>
          <w:noProof/>
          <w:sz w:val="20"/>
          <w:szCs w:val="20"/>
          <w:lang w:eastAsia="es-AR"/>
        </w:rPr>
        <w:pict>
          <v:shapetype id="_x0000_t32" coordsize="21600,21600" o:spt="32" o:oned="t" path="m,l21600,21600e" filled="f">
            <v:path arrowok="t" fillok="f" o:connecttype="none"/>
            <o:lock v:ext="edit" shapetype="t"/>
          </v:shapetype>
          <v:shape id="_x0000_s1027" type="#_x0000_t32" style="position:absolute;margin-left:177pt;margin-top:12.8pt;width:0;height:141.75pt;z-index:251661312" o:connectortype="straight"/>
        </w:pict>
      </w:r>
    </w:p>
    <w:p w:rsidR="00392F04" w:rsidRDefault="00DD1577" w:rsidP="00C32A28">
      <w:pPr>
        <w:rPr>
          <w:rFonts w:ascii="Consolas" w:eastAsia="Arial Unicode MS" w:hAnsi="Consolas" w:cs="Arial Unicode MS"/>
          <w:sz w:val="20"/>
          <w:szCs w:val="20"/>
        </w:rPr>
      </w:pPr>
      <w:r>
        <w:rPr>
          <w:rFonts w:ascii="Consolas" w:eastAsia="Arial Unicode MS" w:hAnsi="Consolas" w:cs="Arial Unicode MS"/>
          <w:noProof/>
          <w:sz w:val="20"/>
          <w:szCs w:val="20"/>
          <w:lang w:eastAsia="es-AR"/>
        </w:rPr>
        <w:pict>
          <v:shape id="_x0000_s1028" type="#_x0000_t32" style="position:absolute;margin-left:177pt;margin-top:141.05pt;width:141.75pt;height:0;z-index:251662336" o:connectortype="straight"/>
        </w:pict>
      </w:r>
      <w:r>
        <w:rPr>
          <w:rFonts w:ascii="Consolas" w:eastAsia="Arial Unicode MS" w:hAnsi="Consolas" w:cs="Arial Unicode MS"/>
          <w:noProof/>
          <w:sz w:val="20"/>
          <w:szCs w:val="20"/>
          <w:lang w:eastAsia="es-A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margin-left:203.4pt;margin-top:9.05pt;width:106.5pt;height:109.5pt;rotation:180;z-index:251663360"/>
        </w:pict>
      </w:r>
      <w:r>
        <w:rPr>
          <w:rFonts w:ascii="Consolas" w:eastAsia="Arial Unicode MS" w:hAnsi="Consolas" w:cs="Arial Unicode MS"/>
          <w:noProof/>
          <w:sz w:val="20"/>
          <w:szCs w:val="20"/>
          <w:lang w:eastAsia="es-AR"/>
        </w:rPr>
        <w:pict>
          <v:shape id="_x0000_s1031" type="#_x0000_t202" style="position:absolute;margin-left:217.65pt;margin-top:146.3pt;width:45.75pt;height:22.5pt;z-index:251666432;mso-width-relative:margin;mso-height-relative:margin" strokecolor="white [3212]">
            <v:textbox>
              <w:txbxContent>
                <w:p w:rsidR="0076030A" w:rsidRPr="0076030A" w:rsidRDefault="0076030A" w:rsidP="0076030A">
                  <w:pPr>
                    <w:rPr>
                      <w:rFonts w:ascii="Consolas" w:hAnsi="Consolas"/>
                      <w:sz w:val="18"/>
                      <w:szCs w:val="18"/>
                      <w:lang w:val="es-ES"/>
                    </w:rPr>
                  </w:pPr>
                  <w:r>
                    <w:rPr>
                      <w:rFonts w:ascii="Consolas" w:hAnsi="Consolas"/>
                      <w:sz w:val="18"/>
                      <w:szCs w:val="18"/>
                      <w:lang w:val="es-ES"/>
                    </w:rPr>
                    <w:t>Dinero</w:t>
                  </w:r>
                </w:p>
              </w:txbxContent>
            </v:textbox>
          </v:shape>
        </w:pict>
      </w:r>
      <w:r w:rsidRPr="0076030A">
        <w:rPr>
          <w:rFonts w:ascii="Consolas" w:eastAsia="Arial Unicode MS" w:hAnsi="Consolas" w:cs="Arial Unicode MS"/>
          <w:noProof/>
          <w:sz w:val="20"/>
          <w:szCs w:val="20"/>
          <w:lang w:val="es-ES"/>
        </w:rPr>
        <w:pict>
          <v:shape id="_x0000_s1030" type="#_x0000_t202" style="position:absolute;margin-left:105.8pt;margin-top:.85pt;width:60.1pt;height:41.2pt;z-index:251665408;mso-width-relative:margin;mso-height-relative:margin" strokecolor="white [3212]">
            <v:textbox>
              <w:txbxContent>
                <w:p w:rsidR="0076030A" w:rsidRDefault="0076030A">
                  <w:pPr>
                    <w:rPr>
                      <w:rFonts w:ascii="Consolas" w:hAnsi="Consolas"/>
                      <w:sz w:val="18"/>
                      <w:szCs w:val="18"/>
                      <w:lang w:val="es-ES"/>
                    </w:rPr>
                  </w:pPr>
                  <w:r>
                    <w:rPr>
                      <w:rFonts w:ascii="Consolas" w:hAnsi="Consolas"/>
                      <w:sz w:val="18"/>
                      <w:szCs w:val="18"/>
                      <w:lang w:val="es-ES"/>
                    </w:rPr>
                    <w:t>Tipo de</w:t>
                  </w:r>
                </w:p>
                <w:p w:rsidR="0076030A" w:rsidRDefault="0076030A">
                  <w:pPr>
                    <w:rPr>
                      <w:rFonts w:ascii="Consolas" w:hAnsi="Consolas"/>
                      <w:sz w:val="18"/>
                      <w:szCs w:val="18"/>
                      <w:lang w:val="es-ES"/>
                    </w:rPr>
                  </w:pPr>
                  <w:r>
                    <w:rPr>
                      <w:rFonts w:ascii="Consolas" w:hAnsi="Consolas"/>
                      <w:sz w:val="18"/>
                      <w:szCs w:val="18"/>
                      <w:lang w:val="es-ES"/>
                    </w:rPr>
                    <w:t>Interés</w:t>
                  </w:r>
                </w:p>
                <w:p w:rsidR="0076030A" w:rsidRPr="0076030A" w:rsidRDefault="0076030A">
                  <w:pPr>
                    <w:rPr>
                      <w:rFonts w:ascii="Consolas" w:hAnsi="Consolas"/>
                      <w:sz w:val="18"/>
                      <w:szCs w:val="18"/>
                      <w:lang w:val="es-ES"/>
                    </w:rPr>
                  </w:pPr>
                  <w:r>
                    <w:rPr>
                      <w:rFonts w:ascii="Consolas" w:hAnsi="Consolas"/>
                      <w:sz w:val="18"/>
                      <w:szCs w:val="18"/>
                      <w:lang w:val="es-ES"/>
                    </w:rPr>
                    <w:t>Nominal</w:t>
                  </w:r>
                </w:p>
              </w:txbxContent>
            </v:textbox>
          </v:shape>
        </w:pict>
      </w:r>
      <w:r w:rsidR="00392F04">
        <w:rPr>
          <w:rFonts w:ascii="Consolas" w:eastAsia="Arial Unicode MS" w:hAnsi="Consolas" w:cs="Arial Unicode MS"/>
          <w:sz w:val="20"/>
          <w:szCs w:val="20"/>
        </w:rPr>
        <w:t xml:space="preserve"> </w:t>
      </w: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DD1577" w:rsidRDefault="00DD1577" w:rsidP="00C32A28">
      <w:pPr>
        <w:rPr>
          <w:rFonts w:ascii="Consolas" w:eastAsia="Arial Unicode MS" w:hAnsi="Consolas" w:cs="Arial Unicode MS"/>
          <w:sz w:val="20"/>
          <w:szCs w:val="20"/>
        </w:rPr>
      </w:pPr>
    </w:p>
    <w:p w:rsidR="00DD1577" w:rsidRDefault="00DD1577"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tbl>
      <w:tblPr>
        <w:tblStyle w:val="Tablaconcuadrcula"/>
        <w:tblW w:w="0" w:type="auto"/>
        <w:tblLook w:val="04A0"/>
      </w:tblPr>
      <w:tblGrid>
        <w:gridCol w:w="3802"/>
        <w:gridCol w:w="3440"/>
        <w:gridCol w:w="3440"/>
      </w:tblGrid>
      <w:tr w:rsidR="00DD1577" w:rsidTr="00E3270C">
        <w:tc>
          <w:tcPr>
            <w:tcW w:w="3802" w:type="dxa"/>
            <w:vMerge w:val="restart"/>
            <w:shd w:val="clear" w:color="auto" w:fill="FFFFCC"/>
            <w:vAlign w:val="center"/>
          </w:tcPr>
          <w:p w:rsidR="00DD1577" w:rsidRPr="0007506A" w:rsidRDefault="00DD1577" w:rsidP="00E3270C">
            <w:pPr>
              <w:jc w:val="center"/>
              <w:rPr>
                <w:rFonts w:ascii="Consolas" w:eastAsia="Arial Unicode MS" w:hAnsi="Consolas" w:cs="Arial Unicode MS"/>
                <w:b/>
                <w:sz w:val="20"/>
                <w:szCs w:val="20"/>
              </w:rPr>
            </w:pPr>
            <w:r w:rsidRPr="0007506A">
              <w:rPr>
                <w:rFonts w:ascii="Consolas" w:eastAsia="Arial Unicode MS" w:hAnsi="Consolas" w:cs="Arial Unicode MS"/>
                <w:b/>
                <w:sz w:val="20"/>
                <w:szCs w:val="20"/>
              </w:rPr>
              <w:t xml:space="preserve">Ley de demanda </w:t>
            </w:r>
            <w:r>
              <w:rPr>
                <w:rFonts w:ascii="Consolas" w:eastAsia="Arial Unicode MS" w:hAnsi="Consolas" w:cs="Arial Unicode MS"/>
                <w:b/>
                <w:sz w:val="20"/>
                <w:szCs w:val="20"/>
              </w:rPr>
              <w:t xml:space="preserve">de dinero </w:t>
            </w:r>
            <w:r w:rsidRPr="0007506A">
              <w:rPr>
                <w:rFonts w:ascii="Consolas" w:eastAsia="Arial Unicode MS" w:hAnsi="Consolas" w:cs="Arial Unicode MS"/>
                <w:b/>
                <w:sz w:val="20"/>
                <w:szCs w:val="20"/>
              </w:rPr>
              <w:t>con pendiente negativa</w:t>
            </w:r>
          </w:p>
        </w:tc>
        <w:tc>
          <w:tcPr>
            <w:tcW w:w="3440" w:type="dxa"/>
            <w:tcBorders>
              <w:bottom w:val="single" w:sz="4" w:space="0" w:color="000000" w:themeColor="text1"/>
            </w:tcBorders>
            <w:shd w:val="clear" w:color="auto" w:fill="CCFFCC"/>
            <w:vAlign w:val="center"/>
          </w:tcPr>
          <w:p w:rsidR="00DD1577" w:rsidRDefault="00DD1577" w:rsidP="00E3270C">
            <w:pPr>
              <w:jc w:val="center"/>
              <w:rPr>
                <w:rFonts w:ascii="Consolas" w:eastAsia="Arial Unicode MS" w:hAnsi="Consolas" w:cs="Arial Unicode MS"/>
                <w:sz w:val="20"/>
                <w:szCs w:val="20"/>
              </w:rPr>
            </w:pPr>
            <w:r>
              <w:rPr>
                <w:rFonts w:ascii="Consolas" w:eastAsia="Arial Unicode MS" w:hAnsi="Consolas" w:cs="Arial Unicode MS"/>
                <w:sz w:val="20"/>
                <w:szCs w:val="20"/>
              </w:rPr>
              <w:t>Aumenta el tipo de interés nominal.</w:t>
            </w:r>
          </w:p>
        </w:tc>
        <w:tc>
          <w:tcPr>
            <w:tcW w:w="3440" w:type="dxa"/>
            <w:tcBorders>
              <w:bottom w:val="single" w:sz="4" w:space="0" w:color="000000" w:themeColor="text1"/>
            </w:tcBorders>
            <w:shd w:val="clear" w:color="auto" w:fill="FFCCFF"/>
            <w:vAlign w:val="center"/>
          </w:tcPr>
          <w:p w:rsidR="00DD1577" w:rsidRDefault="00DD1577" w:rsidP="00E3270C">
            <w:pPr>
              <w:jc w:val="center"/>
              <w:rPr>
                <w:rFonts w:ascii="Consolas" w:eastAsia="Arial Unicode MS" w:hAnsi="Consolas" w:cs="Arial Unicode MS"/>
                <w:sz w:val="20"/>
                <w:szCs w:val="20"/>
              </w:rPr>
            </w:pPr>
            <w:r>
              <w:rPr>
                <w:rFonts w:ascii="Consolas" w:eastAsia="Arial Unicode MS" w:hAnsi="Consolas" w:cs="Arial Unicode MS"/>
                <w:sz w:val="20"/>
                <w:szCs w:val="20"/>
              </w:rPr>
              <w:t>Disminuye la cantidad demandada de dinero</w:t>
            </w:r>
          </w:p>
        </w:tc>
      </w:tr>
      <w:tr w:rsidR="00DD1577" w:rsidTr="00E3270C">
        <w:tc>
          <w:tcPr>
            <w:tcW w:w="3802" w:type="dxa"/>
            <w:vMerge/>
            <w:shd w:val="clear" w:color="auto" w:fill="FFFFCC"/>
          </w:tcPr>
          <w:p w:rsidR="00DD1577" w:rsidRDefault="00DD1577" w:rsidP="00E3270C">
            <w:pPr>
              <w:rPr>
                <w:rFonts w:ascii="Consolas" w:eastAsia="Arial Unicode MS" w:hAnsi="Consolas" w:cs="Arial Unicode MS"/>
                <w:sz w:val="20"/>
                <w:szCs w:val="20"/>
              </w:rPr>
            </w:pPr>
          </w:p>
        </w:tc>
        <w:tc>
          <w:tcPr>
            <w:tcW w:w="3440" w:type="dxa"/>
            <w:shd w:val="clear" w:color="auto" w:fill="FFCCFF"/>
            <w:vAlign w:val="center"/>
          </w:tcPr>
          <w:p w:rsidR="00DD1577" w:rsidRDefault="00DD1577" w:rsidP="00E3270C">
            <w:pPr>
              <w:jc w:val="center"/>
              <w:rPr>
                <w:rFonts w:ascii="Consolas" w:eastAsia="Arial Unicode MS" w:hAnsi="Consolas" w:cs="Arial Unicode MS"/>
                <w:sz w:val="20"/>
                <w:szCs w:val="20"/>
              </w:rPr>
            </w:pPr>
            <w:r>
              <w:rPr>
                <w:rFonts w:ascii="Consolas" w:eastAsia="Arial Unicode MS" w:hAnsi="Consolas" w:cs="Arial Unicode MS"/>
                <w:sz w:val="20"/>
                <w:szCs w:val="20"/>
              </w:rPr>
              <w:t>Disminuye el tipo de interés nominal</w:t>
            </w:r>
          </w:p>
        </w:tc>
        <w:tc>
          <w:tcPr>
            <w:tcW w:w="3440" w:type="dxa"/>
            <w:shd w:val="clear" w:color="auto" w:fill="CCFFCC"/>
            <w:vAlign w:val="center"/>
          </w:tcPr>
          <w:p w:rsidR="00DD1577" w:rsidRDefault="00DD1577" w:rsidP="00E3270C">
            <w:pPr>
              <w:jc w:val="center"/>
              <w:rPr>
                <w:rFonts w:ascii="Consolas" w:eastAsia="Arial Unicode MS" w:hAnsi="Consolas" w:cs="Arial Unicode MS"/>
                <w:sz w:val="20"/>
                <w:szCs w:val="20"/>
              </w:rPr>
            </w:pPr>
            <w:r>
              <w:rPr>
                <w:rFonts w:ascii="Consolas" w:eastAsia="Arial Unicode MS" w:hAnsi="Consolas" w:cs="Arial Unicode MS"/>
                <w:sz w:val="20"/>
                <w:szCs w:val="20"/>
              </w:rPr>
              <w:t>Aumenta la cantidad demandada de dinero..</w:t>
            </w:r>
          </w:p>
        </w:tc>
      </w:tr>
    </w:tbl>
    <w:p w:rsidR="00DD1577" w:rsidRDefault="00DD1577" w:rsidP="00C32A28">
      <w:pPr>
        <w:rPr>
          <w:rFonts w:ascii="Consolas" w:eastAsia="Arial Unicode MS" w:hAnsi="Consolas" w:cs="Arial Unicode MS"/>
          <w:sz w:val="20"/>
          <w:szCs w:val="20"/>
        </w:rPr>
      </w:pPr>
    </w:p>
    <w:p w:rsidR="00A314D0" w:rsidRDefault="00A314D0" w:rsidP="00C32A28">
      <w:pPr>
        <w:rPr>
          <w:rFonts w:ascii="Consolas" w:eastAsia="Arial Unicode MS" w:hAnsi="Consolas" w:cs="Arial Unicode MS"/>
          <w:sz w:val="20"/>
          <w:szCs w:val="20"/>
        </w:rPr>
      </w:pPr>
    </w:p>
    <w:p w:rsidR="00045E2F" w:rsidRDefault="00045E2F">
      <w:pPr>
        <w:rPr>
          <w:rFonts w:ascii="Consolas" w:eastAsia="Arial Unicode MS" w:hAnsi="Consolas" w:cs="Arial Unicode MS"/>
          <w:sz w:val="20"/>
          <w:szCs w:val="20"/>
          <w:u w:val="single"/>
        </w:rPr>
      </w:pPr>
      <w:r>
        <w:rPr>
          <w:rFonts w:ascii="Consolas" w:eastAsia="Arial Unicode MS" w:hAnsi="Consolas" w:cs="Arial Unicode MS"/>
          <w:sz w:val="20"/>
          <w:szCs w:val="20"/>
          <w:u w:val="single"/>
        </w:rPr>
        <w:br w:type="page"/>
      </w:r>
    </w:p>
    <w:p w:rsidR="00A314D0" w:rsidRDefault="00A314D0" w:rsidP="00C32A28">
      <w:pPr>
        <w:rPr>
          <w:rFonts w:ascii="Consolas" w:eastAsia="Arial Unicode MS" w:hAnsi="Consolas" w:cs="Arial Unicode MS"/>
          <w:sz w:val="20"/>
          <w:szCs w:val="20"/>
        </w:rPr>
      </w:pPr>
      <w:r>
        <w:rPr>
          <w:rFonts w:ascii="Consolas" w:eastAsia="Arial Unicode MS" w:hAnsi="Consolas" w:cs="Arial Unicode MS"/>
          <w:sz w:val="20"/>
          <w:szCs w:val="20"/>
          <w:u w:val="single"/>
        </w:rPr>
        <w:lastRenderedPageBreak/>
        <w:t>DESPLAZAMIENTOS DE LA CURVA DE DEMANDA DE DINERO</w:t>
      </w:r>
    </w:p>
    <w:p w:rsidR="00045E2F" w:rsidRDefault="00A314D0" w:rsidP="00C32A28">
      <w:pPr>
        <w:rPr>
          <w:rFonts w:ascii="Consolas" w:eastAsia="Arial Unicode MS" w:hAnsi="Consolas" w:cs="Arial Unicode MS"/>
          <w:sz w:val="20"/>
          <w:szCs w:val="20"/>
        </w:rPr>
      </w:pPr>
      <w:r>
        <w:rPr>
          <w:rFonts w:ascii="Consolas" w:eastAsia="Arial Unicode MS" w:hAnsi="Consolas" w:cs="Arial Unicode MS"/>
          <w:sz w:val="20"/>
          <w:szCs w:val="20"/>
        </w:rPr>
        <w:t>Hay otros factores distintos del tipo de interés nominal que afectan a la demanda de dinero y que desplazan la curva hacia la derecha o hacia la izquierda.</w:t>
      </w:r>
    </w:p>
    <w:p w:rsidR="00D06316" w:rsidRDefault="00045E2F">
      <w:pPr>
        <w:rPr>
          <w:rFonts w:ascii="Consolas" w:eastAsia="Arial Unicode MS" w:hAnsi="Consolas" w:cs="Arial Unicode MS"/>
          <w:sz w:val="20"/>
          <w:szCs w:val="20"/>
        </w:rPr>
      </w:pPr>
      <w:r>
        <w:rPr>
          <w:rFonts w:ascii="Consolas" w:eastAsia="Arial Unicode MS" w:hAnsi="Consolas" w:cs="Arial Unicode MS"/>
          <w:noProof/>
          <w:sz w:val="20"/>
          <w:szCs w:val="20"/>
          <w:lang w:eastAsia="es-AR"/>
        </w:rPr>
        <w:pict>
          <v:shape id="_x0000_s1044" type="#_x0000_t32" style="position:absolute;margin-left:421.35pt;margin-top:123.85pt;width:13.55pt;height:12.2pt;rotation:-180;flip:y;z-index:251679744" o:connectortype="straight">
            <v:stroke endarrow="block"/>
          </v:shape>
        </w:pict>
      </w:r>
      <w:r>
        <w:rPr>
          <w:rFonts w:ascii="Consolas" w:eastAsia="Arial Unicode MS" w:hAnsi="Consolas" w:cs="Arial Unicode MS"/>
          <w:noProof/>
          <w:sz w:val="20"/>
          <w:szCs w:val="20"/>
          <w:lang w:eastAsia="es-AR"/>
        </w:rPr>
        <w:pict>
          <v:shape id="_x0000_s1042" type="#_x0000_t32" style="position:absolute;margin-left:361.85pt;margin-top:55.3pt;width:13.55pt;height:12.2pt;rotation:-180;flip:y;z-index:251677696" o:connectortype="straight">
            <v:stroke endarrow="block"/>
          </v:shape>
        </w:pict>
      </w:r>
      <w:r>
        <w:rPr>
          <w:rFonts w:ascii="Consolas" w:eastAsia="Arial Unicode MS" w:hAnsi="Consolas" w:cs="Arial Unicode MS"/>
          <w:noProof/>
          <w:sz w:val="20"/>
          <w:szCs w:val="20"/>
          <w:lang w:eastAsia="es-AR"/>
        </w:rPr>
        <w:pict>
          <v:shape id="_x0000_s1041" type="#_x0000_t32" style="position:absolute;margin-left:385.85pt;margin-top:98.35pt;width:13.55pt;height:12.2pt;rotation:-180;flip:y;z-index:251676672" o:connectortype="straight">
            <v:stroke endarrow="block"/>
          </v:shape>
        </w:pict>
      </w:r>
      <w:r>
        <w:rPr>
          <w:rFonts w:ascii="Consolas" w:eastAsia="Arial Unicode MS" w:hAnsi="Consolas" w:cs="Arial Unicode MS"/>
          <w:noProof/>
          <w:sz w:val="20"/>
          <w:szCs w:val="20"/>
          <w:lang w:eastAsia="es-AR"/>
        </w:rPr>
        <w:pict>
          <v:shape id="_x0000_s1040" type="#_x0000_t19" style="position:absolute;margin-left:353.85pt;margin-top:34.8pt;width:113.4pt;height:113.4pt;flip:x y;z-index:251675648" strokecolor="#00b0f0">
            <v:stroke dashstyle="dash"/>
          </v:shape>
        </w:pict>
      </w:r>
      <w:r>
        <w:rPr>
          <w:rFonts w:ascii="Consolas" w:eastAsia="Arial Unicode MS" w:hAnsi="Consolas" w:cs="Arial Unicode MS"/>
          <w:noProof/>
          <w:sz w:val="20"/>
          <w:szCs w:val="20"/>
          <w:lang w:eastAsia="es-AR"/>
        </w:rPr>
        <w:pict>
          <v:shape id="_x0000_s1039" type="#_x0000_t19" style="position:absolute;margin-left:370.85pt;margin-top:18.15pt;width:113.4pt;height:113.4pt;flip:x y;z-index:251674624" strokecolor="#00b0f0"/>
        </w:pict>
      </w:r>
      <w:r>
        <w:rPr>
          <w:rFonts w:ascii="Consolas" w:eastAsia="Arial Unicode MS" w:hAnsi="Consolas" w:cs="Arial Unicode MS"/>
          <w:noProof/>
          <w:sz w:val="20"/>
          <w:szCs w:val="20"/>
          <w:lang w:eastAsia="es-A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margin-left:347.25pt;margin-top:57.35pt;width:141.75pt;height:141.75pt;z-index:251673600;mso-position-horizontal-relative:margin;mso-position-vertical-relative:margin" o:connectortype="elbow" adj="-382,-123790,-7200" strokecolor="black [3213]">
            <w10:wrap type="square" anchorx="margin" anchory="margin"/>
          </v:shape>
        </w:pict>
      </w:r>
      <w:r>
        <w:rPr>
          <w:rFonts w:ascii="Consolas" w:eastAsia="Arial Unicode MS" w:hAnsi="Consolas" w:cs="Arial Unicode MS"/>
          <w:noProof/>
          <w:sz w:val="20"/>
          <w:szCs w:val="20"/>
          <w:lang w:eastAsia="es-AR"/>
        </w:rPr>
        <w:pict>
          <v:shape id="_x0000_s1037" type="#_x0000_t32" style="position:absolute;margin-left:114.3pt;margin-top:126.85pt;width:13.55pt;height:12.2pt;flip:y;z-index:251672576" o:connectortype="straight">
            <v:stroke endarrow="block"/>
          </v:shape>
        </w:pict>
      </w:r>
      <w:r>
        <w:rPr>
          <w:rFonts w:ascii="Consolas" w:eastAsia="Arial Unicode MS" w:hAnsi="Consolas" w:cs="Arial Unicode MS"/>
          <w:noProof/>
          <w:sz w:val="20"/>
          <w:szCs w:val="20"/>
          <w:lang w:eastAsia="es-AR"/>
        </w:rPr>
        <w:pict>
          <v:shape id="_x0000_s1036" type="#_x0000_t32" style="position:absolute;margin-left:45.7pt;margin-top:55.5pt;width:13.55pt;height:12.2pt;flip:y;z-index:251671552" o:connectortype="straight">
            <v:stroke endarrow="block"/>
          </v:shape>
        </w:pict>
      </w:r>
      <w:r>
        <w:rPr>
          <w:rFonts w:ascii="Consolas" w:eastAsia="Arial Unicode MS" w:hAnsi="Consolas" w:cs="Arial Unicode MS"/>
          <w:noProof/>
          <w:sz w:val="20"/>
          <w:szCs w:val="20"/>
          <w:lang w:eastAsia="es-AR"/>
        </w:rPr>
        <w:pict>
          <v:shape id="_x0000_s1035" type="#_x0000_t32" style="position:absolute;margin-left:69.7pt;margin-top:98.55pt;width:13.55pt;height:12.2pt;flip:y;z-index:251670528" o:connectortype="straight">
            <v:stroke endarrow="block"/>
          </v:shape>
        </w:pict>
      </w:r>
      <w:r>
        <w:rPr>
          <w:rFonts w:ascii="Consolas" w:eastAsia="Arial Unicode MS" w:hAnsi="Consolas" w:cs="Arial Unicode MS"/>
          <w:noProof/>
          <w:sz w:val="20"/>
          <w:szCs w:val="20"/>
          <w:lang w:eastAsia="es-AR"/>
        </w:rPr>
        <w:pict>
          <v:shape id="_x0000_s1034" type="#_x0000_t19" style="position:absolute;margin-left:54.8pt;margin-top:17.1pt;width:113.4pt;height:113.4pt;flip:x y;z-index:251669504" strokecolor="#00b0f0">
            <v:stroke dashstyle="dash"/>
          </v:shape>
        </w:pict>
      </w:r>
      <w:r>
        <w:rPr>
          <w:rFonts w:ascii="Consolas" w:eastAsia="Arial Unicode MS" w:hAnsi="Consolas" w:cs="Arial Unicode MS"/>
          <w:noProof/>
          <w:sz w:val="20"/>
          <w:szCs w:val="20"/>
          <w:lang w:eastAsia="es-AR"/>
        </w:rPr>
        <w:pict>
          <v:shape id="_x0000_s1033" type="#_x0000_t19" style="position:absolute;margin-left:37.4pt;margin-top:34.8pt;width:113.4pt;height:113.4pt;flip:x y;z-index:251668480" strokecolor="#00b0f0"/>
        </w:pict>
      </w:r>
      <w:r>
        <w:rPr>
          <w:rFonts w:ascii="Consolas" w:eastAsia="Arial Unicode MS" w:hAnsi="Consolas" w:cs="Arial Unicode MS"/>
          <w:noProof/>
          <w:sz w:val="20"/>
          <w:szCs w:val="20"/>
          <w:lang w:eastAsia="es-AR"/>
        </w:rPr>
        <w:pict>
          <v:shape id="_x0000_s1032" type="#_x0000_t34" style="position:absolute;margin-left:26pt;margin-top:59.3pt;width:141.75pt;height:141.75pt;z-index:251667456;mso-position-horizontal-relative:margin;mso-position-vertical-relative:margin" o:connectortype="elbow" adj="-382,-123790,-7200" strokecolor="black [3213]">
            <w10:wrap type="square" anchorx="margin" anchory="margin"/>
          </v:shape>
        </w:pict>
      </w: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pPr>
        <w:rPr>
          <w:rFonts w:ascii="Consolas" w:eastAsia="Arial Unicode MS" w:hAnsi="Consolas" w:cs="Arial Unicode MS"/>
          <w:sz w:val="20"/>
          <w:szCs w:val="20"/>
        </w:rPr>
      </w:pPr>
    </w:p>
    <w:p w:rsidR="00D06316" w:rsidRDefault="00D06316" w:rsidP="00C32A28">
      <w:pPr>
        <w:rPr>
          <w:rFonts w:ascii="Consolas" w:eastAsia="Arial Unicode MS" w:hAnsi="Consolas" w:cs="Arial Unicode MS"/>
          <w:sz w:val="20"/>
          <w:szCs w:val="20"/>
        </w:rPr>
      </w:pPr>
    </w:p>
    <w:p w:rsidR="00071B88" w:rsidRDefault="00071B88" w:rsidP="00C32A28">
      <w:pPr>
        <w:rPr>
          <w:rFonts w:ascii="Consolas" w:eastAsia="Arial Unicode MS" w:hAnsi="Consolas" w:cs="Arial Unicode MS"/>
          <w:sz w:val="20"/>
          <w:szCs w:val="20"/>
        </w:rPr>
      </w:pPr>
    </w:p>
    <w:p w:rsidR="00045E2F" w:rsidRDefault="00D06316" w:rsidP="00C32A28">
      <w:pPr>
        <w:rPr>
          <w:rFonts w:ascii="Consolas" w:eastAsia="Arial Unicode MS" w:hAnsi="Consolas" w:cs="Arial Unicode MS"/>
          <w:sz w:val="20"/>
          <w:szCs w:val="20"/>
        </w:rPr>
      </w:pPr>
      <w:r>
        <w:rPr>
          <w:rFonts w:ascii="Consolas" w:eastAsia="Arial Unicode MS" w:hAnsi="Consolas" w:cs="Arial Unicode MS"/>
          <w:sz w:val="20"/>
          <w:szCs w:val="20"/>
        </w:rPr>
        <w:t>El BCRA decide la oferta monetaria realizando operaciones de mercado abierto. El mercado de dinero se encuentra en equilibrio para el tipo de interés nominal al que la demanda se iguala a la oferta de dinero. El BCRA puede bajar el tipo de interés nominal reduciendo la oferta monetaria.</w:t>
      </w:r>
    </w:p>
    <w:p w:rsidR="00071B88" w:rsidRDefault="00071B88" w:rsidP="00C32A28">
      <w:pPr>
        <w:rPr>
          <w:rFonts w:ascii="Consolas" w:eastAsia="Arial Unicode MS" w:hAnsi="Consolas" w:cs="Arial Unicode MS"/>
          <w:sz w:val="20"/>
          <w:szCs w:val="20"/>
        </w:rPr>
      </w:pPr>
    </w:p>
    <w:p w:rsidR="00071B88" w:rsidRDefault="00071B88" w:rsidP="00C32A28">
      <w:pPr>
        <w:rPr>
          <w:rFonts w:ascii="Consolas" w:eastAsia="Arial Unicode MS" w:hAnsi="Consolas" w:cs="Arial Unicode MS"/>
          <w:sz w:val="20"/>
          <w:szCs w:val="20"/>
        </w:rPr>
      </w:pPr>
    </w:p>
    <w:p w:rsidR="00071B88" w:rsidRDefault="00071B88" w:rsidP="00C32A28">
      <w:pPr>
        <w:rPr>
          <w:rFonts w:ascii="Consolas" w:eastAsia="Arial Unicode MS" w:hAnsi="Consolas" w:cs="Arial Unicode MS"/>
          <w:sz w:val="20"/>
          <w:szCs w:val="20"/>
        </w:rPr>
      </w:pPr>
      <w:r>
        <w:rPr>
          <w:rFonts w:ascii="Consolas" w:eastAsia="Arial Unicode MS" w:hAnsi="Consolas" w:cs="Arial Unicode MS"/>
          <w:sz w:val="20"/>
          <w:szCs w:val="20"/>
        </w:rPr>
        <w:t>Entonces, el BCRA tiene además de las compras y ventas de activos monetarios en el mercado abierto, otros dos instrumentos para alterar la oferta monetaria:</w:t>
      </w:r>
    </w:p>
    <w:p w:rsidR="00071B88" w:rsidRDefault="00071B88" w:rsidP="00071B88">
      <w:pPr>
        <w:pStyle w:val="Prrafodelista"/>
        <w:numPr>
          <w:ilvl w:val="0"/>
          <w:numId w:val="15"/>
        </w:numPr>
        <w:rPr>
          <w:rFonts w:ascii="Consolas" w:eastAsia="Arial Unicode MS" w:hAnsi="Consolas" w:cs="Arial Unicode MS"/>
          <w:sz w:val="20"/>
          <w:szCs w:val="20"/>
        </w:rPr>
      </w:pPr>
      <w:r>
        <w:rPr>
          <w:rFonts w:ascii="Consolas" w:eastAsia="Arial Unicode MS" w:hAnsi="Consolas" w:cs="Arial Unicode MS"/>
          <w:sz w:val="20"/>
          <w:szCs w:val="20"/>
        </w:rPr>
        <w:t xml:space="preserve">Modificación de los </w:t>
      </w:r>
      <w:r w:rsidR="00C3726D">
        <w:rPr>
          <w:rFonts w:ascii="Consolas" w:eastAsia="Arial Unicode MS" w:hAnsi="Consolas" w:cs="Arial Unicode MS"/>
          <w:sz w:val="20"/>
          <w:szCs w:val="20"/>
        </w:rPr>
        <w:t>préstamos</w:t>
      </w:r>
      <w:r>
        <w:rPr>
          <w:rFonts w:ascii="Consolas" w:eastAsia="Arial Unicode MS" w:hAnsi="Consolas" w:cs="Arial Unicode MS"/>
          <w:sz w:val="20"/>
          <w:szCs w:val="20"/>
        </w:rPr>
        <w:t xml:space="preserve"> a través de operaciones de descuento: </w:t>
      </w:r>
      <w:r w:rsidR="00C3726D">
        <w:rPr>
          <w:rFonts w:ascii="Consolas" w:eastAsia="Arial Unicode MS" w:hAnsi="Consolas" w:cs="Arial Unicode MS"/>
          <w:sz w:val="20"/>
          <w:szCs w:val="20"/>
        </w:rPr>
        <w:t>préstamos</w:t>
      </w:r>
      <w:r>
        <w:rPr>
          <w:rFonts w:ascii="Consolas" w:eastAsia="Arial Unicode MS" w:hAnsi="Consolas" w:cs="Arial Unicode MS"/>
          <w:sz w:val="20"/>
          <w:szCs w:val="20"/>
        </w:rPr>
        <w:t xml:space="preserve"> que les piden los bancos comerciales al BCRA para aumentar sus fondos.</w:t>
      </w:r>
    </w:p>
    <w:p w:rsidR="00071B88" w:rsidRDefault="00071B88" w:rsidP="00071B88">
      <w:pPr>
        <w:pStyle w:val="Prrafodelista"/>
        <w:numPr>
          <w:ilvl w:val="0"/>
          <w:numId w:val="15"/>
        </w:numPr>
        <w:rPr>
          <w:rFonts w:ascii="Consolas" w:eastAsia="Arial Unicode MS" w:hAnsi="Consolas" w:cs="Arial Unicode MS"/>
          <w:sz w:val="20"/>
          <w:szCs w:val="20"/>
        </w:rPr>
      </w:pPr>
      <w:r>
        <w:rPr>
          <w:rFonts w:ascii="Consolas" w:eastAsia="Arial Unicode MS" w:hAnsi="Consolas" w:cs="Arial Unicode MS"/>
          <w:sz w:val="20"/>
          <w:szCs w:val="20"/>
        </w:rPr>
        <w:t xml:space="preserve">Modificación de las reservas obligatorias: valores </w:t>
      </w:r>
      <w:r w:rsidR="00C3726D">
        <w:rPr>
          <w:rFonts w:ascii="Consolas" w:eastAsia="Arial Unicode MS" w:hAnsi="Consolas" w:cs="Arial Unicode MS"/>
          <w:sz w:val="20"/>
          <w:szCs w:val="20"/>
        </w:rPr>
        <w:t>mínimos</w:t>
      </w:r>
      <w:r>
        <w:rPr>
          <w:rFonts w:ascii="Consolas" w:eastAsia="Arial Unicode MS" w:hAnsi="Consolas" w:cs="Arial Unicode MS"/>
          <w:sz w:val="20"/>
          <w:szCs w:val="20"/>
        </w:rPr>
        <w:t xml:space="preserve"> de las </w:t>
      </w:r>
      <w:r w:rsidR="00C3726D">
        <w:rPr>
          <w:rFonts w:ascii="Consolas" w:eastAsia="Arial Unicode MS" w:hAnsi="Consolas" w:cs="Arial Unicode MS"/>
          <w:sz w:val="20"/>
          <w:szCs w:val="20"/>
        </w:rPr>
        <w:t>reservas</w:t>
      </w:r>
      <w:r>
        <w:rPr>
          <w:rFonts w:ascii="Consolas" w:eastAsia="Arial Unicode MS" w:hAnsi="Consolas" w:cs="Arial Unicode MS"/>
          <w:sz w:val="20"/>
          <w:szCs w:val="20"/>
        </w:rPr>
        <w:t xml:space="preserve"> que deben mantener los bancos comerciales.</w:t>
      </w:r>
    </w:p>
    <w:p w:rsidR="00DD7632" w:rsidRDefault="00DD7632" w:rsidP="00DD7632">
      <w:pPr>
        <w:rPr>
          <w:rFonts w:ascii="Consolas" w:eastAsia="Arial Unicode MS" w:hAnsi="Consolas" w:cs="Arial Unicode MS"/>
          <w:sz w:val="20"/>
          <w:szCs w:val="20"/>
        </w:rPr>
      </w:pPr>
    </w:p>
    <w:p w:rsidR="00DD7632" w:rsidRDefault="00DD7632" w:rsidP="00DD7632">
      <w:pPr>
        <w:rPr>
          <w:rFonts w:ascii="Consolas" w:eastAsia="Arial Unicode MS" w:hAnsi="Consolas" w:cs="Arial Unicode MS"/>
          <w:sz w:val="20"/>
          <w:szCs w:val="20"/>
        </w:rPr>
      </w:pPr>
      <w:r>
        <w:rPr>
          <w:rFonts w:ascii="Consolas" w:eastAsia="Arial Unicode MS" w:hAnsi="Consolas" w:cs="Arial Unicode MS"/>
          <w:sz w:val="20"/>
          <w:szCs w:val="20"/>
        </w:rPr>
        <w:t xml:space="preserve">A corto plazo el BCRA puede controlar el tipo de interés real, </w:t>
      </w:r>
      <w:r w:rsidR="00913C51">
        <w:rPr>
          <w:rFonts w:ascii="Consolas" w:eastAsia="Arial Unicode MS" w:hAnsi="Consolas" w:cs="Arial Unicode MS"/>
          <w:sz w:val="20"/>
          <w:szCs w:val="20"/>
        </w:rPr>
        <w:t>así</w:t>
      </w:r>
      <w:r>
        <w:rPr>
          <w:rFonts w:ascii="Consolas" w:eastAsia="Arial Unicode MS" w:hAnsi="Consolas" w:cs="Arial Unicode MS"/>
          <w:sz w:val="20"/>
          <w:szCs w:val="20"/>
        </w:rPr>
        <w:t xml:space="preserve"> como el tipo de interés nominal.</w:t>
      </w:r>
    </w:p>
    <w:p w:rsidR="00DD7632" w:rsidRDefault="00913C51" w:rsidP="00DD7632">
      <w:pPr>
        <w:pStyle w:val="Prrafodelista"/>
        <w:numPr>
          <w:ilvl w:val="0"/>
          <w:numId w:val="16"/>
        </w:numPr>
        <w:rPr>
          <w:rFonts w:ascii="Consolas" w:eastAsia="Arial Unicode MS" w:hAnsi="Consolas" w:cs="Arial Unicode MS"/>
          <w:sz w:val="20"/>
          <w:szCs w:val="20"/>
        </w:rPr>
      </w:pPr>
      <w:r>
        <w:rPr>
          <w:rFonts w:ascii="Consolas" w:eastAsia="Arial Unicode MS" w:hAnsi="Consolas" w:cs="Arial Unicode MS"/>
          <w:sz w:val="20"/>
          <w:szCs w:val="20"/>
        </w:rPr>
        <w:t>Interés</w:t>
      </w:r>
      <w:r w:rsidR="00DD7632">
        <w:rPr>
          <w:rFonts w:ascii="Consolas" w:eastAsia="Arial Unicode MS" w:hAnsi="Consolas" w:cs="Arial Unicode MS"/>
          <w:sz w:val="20"/>
          <w:szCs w:val="20"/>
        </w:rPr>
        <w:t xml:space="preserve"> real: tipo de interés nominal menos la tasa de inflación.</w:t>
      </w:r>
    </w:p>
    <w:p w:rsidR="00DD7632" w:rsidRDefault="00DD7632" w:rsidP="00DD7632">
      <w:pPr>
        <w:rPr>
          <w:rFonts w:ascii="Consolas" w:eastAsia="Arial Unicode MS" w:hAnsi="Consolas" w:cs="Arial Unicode MS"/>
          <w:sz w:val="20"/>
          <w:szCs w:val="20"/>
        </w:rPr>
      </w:pPr>
      <w:r>
        <w:rPr>
          <w:rFonts w:ascii="Consolas" w:eastAsia="Arial Unicode MS" w:hAnsi="Consolas" w:cs="Arial Unicode MS"/>
          <w:sz w:val="20"/>
          <w:szCs w:val="20"/>
        </w:rPr>
        <w:t>Como la inflación se ajusta a un ritmo lento, el BCRA puede alterar el tipo de interés real variando el tipo  de interés nominal.</w:t>
      </w:r>
    </w:p>
    <w:p w:rsidR="00DD7632" w:rsidRDefault="00DD7632" w:rsidP="00DD7632">
      <w:pPr>
        <w:rPr>
          <w:rFonts w:ascii="Consolas" w:eastAsia="Arial Unicode MS" w:hAnsi="Consolas" w:cs="Arial Unicode MS"/>
          <w:sz w:val="20"/>
          <w:szCs w:val="20"/>
        </w:rPr>
      </w:pPr>
      <w:r>
        <w:rPr>
          <w:rFonts w:ascii="Consolas" w:eastAsia="Arial Unicode MS" w:hAnsi="Consolas" w:cs="Arial Unicode MS"/>
          <w:sz w:val="20"/>
          <w:szCs w:val="20"/>
        </w:rPr>
        <w:t>A largo plazo, el tipo de interés real, viene dado por el equilibrio entre el ahorro y la inversión.</w:t>
      </w:r>
    </w:p>
    <w:p w:rsidR="00913C51" w:rsidRDefault="00913C51" w:rsidP="00DD7632">
      <w:pPr>
        <w:rPr>
          <w:rFonts w:ascii="Consolas" w:eastAsia="Arial Unicode MS" w:hAnsi="Consolas" w:cs="Arial Unicode MS"/>
          <w:sz w:val="20"/>
          <w:szCs w:val="20"/>
        </w:rPr>
      </w:pPr>
    </w:p>
    <w:p w:rsidR="00913C51" w:rsidRDefault="00913C51" w:rsidP="00DD7632">
      <w:pPr>
        <w:rPr>
          <w:rFonts w:ascii="Consolas" w:eastAsia="Arial Unicode MS" w:hAnsi="Consolas" w:cs="Arial Unicode MS"/>
          <w:sz w:val="20"/>
          <w:szCs w:val="20"/>
        </w:rPr>
      </w:pPr>
      <w:r>
        <w:rPr>
          <w:rFonts w:ascii="Consolas" w:eastAsia="Arial Unicode MS" w:hAnsi="Consolas" w:cs="Arial Unicode MS"/>
          <w:sz w:val="20"/>
          <w:szCs w:val="20"/>
        </w:rPr>
        <w:t>Las medidas del BCRA afectan a la economía porque las variaciones del tipo de interés real afectan al gasto planeado.</w:t>
      </w:r>
    </w:p>
    <w:p w:rsidR="00913C51" w:rsidRDefault="00913C51" w:rsidP="00913C51">
      <w:pPr>
        <w:pStyle w:val="Prrafodelista"/>
        <w:numPr>
          <w:ilvl w:val="0"/>
          <w:numId w:val="16"/>
        </w:numPr>
        <w:rPr>
          <w:rFonts w:ascii="Consolas" w:eastAsia="Arial Unicode MS" w:hAnsi="Consolas" w:cs="Arial Unicode MS"/>
          <w:sz w:val="20"/>
          <w:szCs w:val="20"/>
        </w:rPr>
      </w:pPr>
      <w:r>
        <w:rPr>
          <w:rFonts w:ascii="Consolas" w:eastAsia="Arial Unicode MS" w:hAnsi="Consolas" w:cs="Arial Unicode MS"/>
          <w:sz w:val="20"/>
          <w:szCs w:val="20"/>
        </w:rPr>
        <w:t xml:space="preserve">Para eliminar una brecha de producción contractiva </w:t>
      </w:r>
      <w:r w:rsidRPr="00913C51">
        <w:rPr>
          <w:rFonts w:ascii="Consolas" w:eastAsia="Arial Unicode MS" w:hAnsi="Consolas" w:cs="Arial Unicode MS"/>
          <w:sz w:val="20"/>
          <w:szCs w:val="20"/>
        </w:rPr>
        <w:sym w:font="Wingdings" w:char="F0E0"/>
      </w:r>
      <w:r>
        <w:rPr>
          <w:rFonts w:ascii="Consolas" w:eastAsia="Arial Unicode MS" w:hAnsi="Consolas" w:cs="Arial Unicode MS"/>
          <w:sz w:val="20"/>
          <w:szCs w:val="20"/>
        </w:rPr>
        <w:t xml:space="preserve"> baja el tipo de interés real.</w:t>
      </w:r>
    </w:p>
    <w:p w:rsidR="00913C51" w:rsidRDefault="00913C51" w:rsidP="00913C51">
      <w:pPr>
        <w:pStyle w:val="Prrafodelista"/>
        <w:numPr>
          <w:ilvl w:val="0"/>
          <w:numId w:val="16"/>
        </w:numPr>
        <w:rPr>
          <w:rFonts w:ascii="Consolas" w:eastAsia="Arial Unicode MS" w:hAnsi="Consolas" w:cs="Arial Unicode MS"/>
          <w:sz w:val="20"/>
          <w:szCs w:val="20"/>
        </w:rPr>
      </w:pPr>
      <w:r>
        <w:rPr>
          <w:rFonts w:ascii="Consolas" w:eastAsia="Arial Unicode MS" w:hAnsi="Consolas" w:cs="Arial Unicode MS"/>
          <w:sz w:val="20"/>
          <w:szCs w:val="20"/>
        </w:rPr>
        <w:t xml:space="preserve">Para eliminar una brecha de producción expansiva </w:t>
      </w:r>
      <w:r w:rsidRPr="00913C51">
        <w:rPr>
          <w:rFonts w:ascii="Consolas" w:eastAsia="Arial Unicode MS" w:hAnsi="Consolas" w:cs="Arial Unicode MS"/>
          <w:sz w:val="20"/>
          <w:szCs w:val="20"/>
        </w:rPr>
        <w:sym w:font="Wingdings" w:char="F0E0"/>
      </w:r>
      <w:r>
        <w:rPr>
          <w:rFonts w:ascii="Consolas" w:eastAsia="Arial Unicode MS" w:hAnsi="Consolas" w:cs="Arial Unicode MS"/>
          <w:sz w:val="20"/>
          <w:szCs w:val="20"/>
        </w:rPr>
        <w:t xml:space="preserve"> sube el tipo de interés real.</w:t>
      </w:r>
    </w:p>
    <w:p w:rsidR="00913C51" w:rsidRDefault="00913C51" w:rsidP="00913C51">
      <w:pPr>
        <w:rPr>
          <w:rFonts w:ascii="Consolas" w:eastAsia="Arial Unicode MS" w:hAnsi="Consolas" w:cs="Arial Unicode MS"/>
          <w:sz w:val="20"/>
          <w:szCs w:val="20"/>
        </w:rPr>
      </w:pPr>
    </w:p>
    <w:tbl>
      <w:tblPr>
        <w:tblStyle w:val="Tablaconcuadrcula"/>
        <w:tblW w:w="0" w:type="auto"/>
        <w:tblLook w:val="04A0"/>
      </w:tblPr>
      <w:tblGrid>
        <w:gridCol w:w="10606"/>
      </w:tblGrid>
      <w:tr w:rsidR="00913C51" w:rsidTr="00913C51">
        <w:tc>
          <w:tcPr>
            <w:tcW w:w="10606" w:type="dxa"/>
          </w:tcPr>
          <w:p w:rsidR="00913C51" w:rsidRPr="00913C51" w:rsidRDefault="002831DD" w:rsidP="00913C51">
            <w:pPr>
              <w:rPr>
                <w:rFonts w:ascii="Consolas" w:eastAsia="Arial Unicode MS" w:hAnsi="Consolas" w:cs="Arial Unicode MS"/>
                <w:sz w:val="20"/>
                <w:szCs w:val="20"/>
              </w:rPr>
            </w:pPr>
            <w:r>
              <w:rPr>
                <w:rFonts w:ascii="Consolas" w:eastAsia="Arial Unicode MS" w:hAnsi="Consolas" w:cs="Arial Unicode MS"/>
                <w:b/>
                <w:sz w:val="20"/>
                <w:szCs w:val="20"/>
              </w:rPr>
              <w:t>Función</w:t>
            </w:r>
            <w:r w:rsidR="00913C51">
              <w:rPr>
                <w:rFonts w:ascii="Consolas" w:eastAsia="Arial Unicode MS" w:hAnsi="Consolas" w:cs="Arial Unicode MS"/>
                <w:b/>
                <w:sz w:val="20"/>
                <w:szCs w:val="20"/>
              </w:rPr>
              <w:t xml:space="preserve"> de reacción: </w:t>
            </w:r>
            <w:r w:rsidR="00913C51">
              <w:rPr>
                <w:rFonts w:ascii="Consolas" w:eastAsia="Arial Unicode MS" w:hAnsi="Consolas" w:cs="Arial Unicode MS"/>
                <w:sz w:val="20"/>
                <w:szCs w:val="20"/>
              </w:rPr>
              <w:t>describe como las medidas llevadas a cabo por las autoridades económicas, dependen de la variación de la economía.</w:t>
            </w:r>
          </w:p>
        </w:tc>
      </w:tr>
    </w:tbl>
    <w:p w:rsidR="00913C51" w:rsidRPr="00913C51" w:rsidRDefault="00913C51" w:rsidP="00913C51">
      <w:pPr>
        <w:rPr>
          <w:rFonts w:ascii="Consolas" w:eastAsia="Arial Unicode MS" w:hAnsi="Consolas" w:cs="Arial Unicode MS"/>
          <w:sz w:val="20"/>
          <w:szCs w:val="20"/>
        </w:rPr>
      </w:pPr>
    </w:p>
    <w:sectPr w:rsidR="00913C51" w:rsidRPr="00913C51" w:rsidSect="00EC1FBA">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EA" w:rsidRDefault="003779EA" w:rsidP="00070E8A">
      <w:pPr>
        <w:spacing w:line="240" w:lineRule="auto"/>
      </w:pPr>
      <w:r>
        <w:separator/>
      </w:r>
    </w:p>
  </w:endnote>
  <w:endnote w:type="continuationSeparator" w:id="1">
    <w:p w:rsidR="003779EA" w:rsidRDefault="003779EA" w:rsidP="00070E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8118"/>
      <w:docPartObj>
        <w:docPartGallery w:val="Page Numbers (Bottom of Page)"/>
        <w:docPartUnique/>
      </w:docPartObj>
    </w:sdtPr>
    <w:sdtContent>
      <w:p w:rsidR="00070E8A" w:rsidRDefault="00272463">
        <w:pPr>
          <w:pStyle w:val="Piedepgin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EA" w:rsidRDefault="003779EA" w:rsidP="00070E8A">
      <w:pPr>
        <w:spacing w:line="240" w:lineRule="auto"/>
      </w:pPr>
      <w:r>
        <w:separator/>
      </w:r>
    </w:p>
  </w:footnote>
  <w:footnote w:type="continuationSeparator" w:id="1">
    <w:p w:rsidR="003779EA" w:rsidRDefault="003779EA" w:rsidP="00070E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E6C"/>
    <w:multiLevelType w:val="hybridMultilevel"/>
    <w:tmpl w:val="151C366E"/>
    <w:lvl w:ilvl="0" w:tplc="FF701B48">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A0377A"/>
    <w:multiLevelType w:val="hybridMultilevel"/>
    <w:tmpl w:val="27FE7D7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0DF518E"/>
    <w:multiLevelType w:val="hybridMultilevel"/>
    <w:tmpl w:val="AC360F7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C5954E5"/>
    <w:multiLevelType w:val="hybridMultilevel"/>
    <w:tmpl w:val="32AAF2C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8B2346"/>
    <w:multiLevelType w:val="hybridMultilevel"/>
    <w:tmpl w:val="BCF69954"/>
    <w:lvl w:ilvl="0" w:tplc="12325BF8">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2906122"/>
    <w:multiLevelType w:val="hybridMultilevel"/>
    <w:tmpl w:val="5F0E02F0"/>
    <w:lvl w:ilvl="0" w:tplc="9692C614">
      <w:start w:val="1"/>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59A2D77"/>
    <w:multiLevelType w:val="hybridMultilevel"/>
    <w:tmpl w:val="CC8E1A20"/>
    <w:lvl w:ilvl="0" w:tplc="10C4B09C">
      <w:start w:val="1"/>
      <w:numFmt w:val="bullet"/>
      <w:lvlText w:val=""/>
      <w:lvlJc w:val="left"/>
      <w:pPr>
        <w:ind w:left="720" w:hanging="360"/>
      </w:pPr>
      <w:rPr>
        <w:rFonts w:ascii="Wingdings" w:eastAsia="Arial Unicode MS" w:hAnsi="Wingding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62C2D9F"/>
    <w:multiLevelType w:val="hybridMultilevel"/>
    <w:tmpl w:val="BD82BD7E"/>
    <w:lvl w:ilvl="0" w:tplc="3FEE1616">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E59394B"/>
    <w:multiLevelType w:val="hybridMultilevel"/>
    <w:tmpl w:val="7F00BB9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B6002BB"/>
    <w:multiLevelType w:val="hybridMultilevel"/>
    <w:tmpl w:val="F8D82D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F4F6E6C"/>
    <w:multiLevelType w:val="hybridMultilevel"/>
    <w:tmpl w:val="DC9E1C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16C1D81"/>
    <w:multiLevelType w:val="hybridMultilevel"/>
    <w:tmpl w:val="313C52F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4484497"/>
    <w:multiLevelType w:val="hybridMultilevel"/>
    <w:tmpl w:val="18A03544"/>
    <w:lvl w:ilvl="0" w:tplc="2C0A0013">
      <w:start w:val="1"/>
      <w:numFmt w:val="upperRoman"/>
      <w:lvlText w:val="%1."/>
      <w:lvlJc w:val="righ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76B3152C"/>
    <w:multiLevelType w:val="hybridMultilevel"/>
    <w:tmpl w:val="5680DA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9A62DCD"/>
    <w:multiLevelType w:val="hybridMultilevel"/>
    <w:tmpl w:val="56B24D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A5142DC"/>
    <w:multiLevelType w:val="hybridMultilevel"/>
    <w:tmpl w:val="0E7E49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9"/>
  </w:num>
  <w:num w:numId="5">
    <w:abstractNumId w:val="8"/>
  </w:num>
  <w:num w:numId="6">
    <w:abstractNumId w:val="0"/>
  </w:num>
  <w:num w:numId="7">
    <w:abstractNumId w:val="15"/>
  </w:num>
  <w:num w:numId="8">
    <w:abstractNumId w:val="10"/>
  </w:num>
  <w:num w:numId="9">
    <w:abstractNumId w:val="4"/>
  </w:num>
  <w:num w:numId="10">
    <w:abstractNumId w:val="1"/>
  </w:num>
  <w:num w:numId="11">
    <w:abstractNumId w:val="6"/>
  </w:num>
  <w:num w:numId="12">
    <w:abstractNumId w:val="7"/>
  </w:num>
  <w:num w:numId="13">
    <w:abstractNumId w:val="2"/>
  </w:num>
  <w:num w:numId="14">
    <w:abstractNumId w:val="14"/>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5602">
      <o:colormenu v:ext="edit" fillcolor="none" strokecolor="none [3213]"/>
    </o:shapedefaults>
  </w:hdrShapeDefaults>
  <w:footnotePr>
    <w:footnote w:id="0"/>
    <w:footnote w:id="1"/>
  </w:footnotePr>
  <w:endnotePr>
    <w:endnote w:id="0"/>
    <w:endnote w:id="1"/>
  </w:endnotePr>
  <w:compat/>
  <w:rsids>
    <w:rsidRoot w:val="00C32A28"/>
    <w:rsid w:val="0003326C"/>
    <w:rsid w:val="00037AE8"/>
    <w:rsid w:val="00037CA6"/>
    <w:rsid w:val="00045212"/>
    <w:rsid w:val="00045E2F"/>
    <w:rsid w:val="00070E8A"/>
    <w:rsid w:val="00071B88"/>
    <w:rsid w:val="00074E31"/>
    <w:rsid w:val="00087000"/>
    <w:rsid w:val="00104B85"/>
    <w:rsid w:val="00104EBD"/>
    <w:rsid w:val="00113102"/>
    <w:rsid w:val="001310D8"/>
    <w:rsid w:val="00137B9C"/>
    <w:rsid w:val="0014700C"/>
    <w:rsid w:val="00154A8F"/>
    <w:rsid w:val="00161E08"/>
    <w:rsid w:val="0016357D"/>
    <w:rsid w:val="00163D60"/>
    <w:rsid w:val="00184E84"/>
    <w:rsid w:val="00185DBA"/>
    <w:rsid w:val="001A3A6C"/>
    <w:rsid w:val="001C677B"/>
    <w:rsid w:val="001F34B4"/>
    <w:rsid w:val="0020109C"/>
    <w:rsid w:val="00221E5B"/>
    <w:rsid w:val="00227E5C"/>
    <w:rsid w:val="00272463"/>
    <w:rsid w:val="00274915"/>
    <w:rsid w:val="002831DD"/>
    <w:rsid w:val="002B34FE"/>
    <w:rsid w:val="002E5E77"/>
    <w:rsid w:val="002E5F58"/>
    <w:rsid w:val="002F2610"/>
    <w:rsid w:val="00305271"/>
    <w:rsid w:val="00337988"/>
    <w:rsid w:val="0036358A"/>
    <w:rsid w:val="00373D88"/>
    <w:rsid w:val="003779EA"/>
    <w:rsid w:val="00392F04"/>
    <w:rsid w:val="003B472A"/>
    <w:rsid w:val="003E2504"/>
    <w:rsid w:val="00407EEC"/>
    <w:rsid w:val="00416975"/>
    <w:rsid w:val="004440E7"/>
    <w:rsid w:val="00483A35"/>
    <w:rsid w:val="00484952"/>
    <w:rsid w:val="00495700"/>
    <w:rsid w:val="00525508"/>
    <w:rsid w:val="00555F30"/>
    <w:rsid w:val="005B3EAF"/>
    <w:rsid w:val="005C19B8"/>
    <w:rsid w:val="005E049F"/>
    <w:rsid w:val="005F6365"/>
    <w:rsid w:val="00627480"/>
    <w:rsid w:val="00643AB5"/>
    <w:rsid w:val="00643BD9"/>
    <w:rsid w:val="006463A7"/>
    <w:rsid w:val="0068389C"/>
    <w:rsid w:val="00683A60"/>
    <w:rsid w:val="006B548A"/>
    <w:rsid w:val="006C2E71"/>
    <w:rsid w:val="006E0A46"/>
    <w:rsid w:val="006F2A2C"/>
    <w:rsid w:val="006F54E0"/>
    <w:rsid w:val="006F681C"/>
    <w:rsid w:val="0070591E"/>
    <w:rsid w:val="007452B8"/>
    <w:rsid w:val="007476C8"/>
    <w:rsid w:val="00752950"/>
    <w:rsid w:val="0076030A"/>
    <w:rsid w:val="007624F9"/>
    <w:rsid w:val="00780405"/>
    <w:rsid w:val="007B03E3"/>
    <w:rsid w:val="007C28FC"/>
    <w:rsid w:val="007D171A"/>
    <w:rsid w:val="007F7E2F"/>
    <w:rsid w:val="008A70B6"/>
    <w:rsid w:val="008E3A93"/>
    <w:rsid w:val="008F627C"/>
    <w:rsid w:val="009135B8"/>
    <w:rsid w:val="00913C51"/>
    <w:rsid w:val="00965F56"/>
    <w:rsid w:val="009A1D33"/>
    <w:rsid w:val="009C358C"/>
    <w:rsid w:val="00A06C5F"/>
    <w:rsid w:val="00A314D0"/>
    <w:rsid w:val="00A4189F"/>
    <w:rsid w:val="00A86949"/>
    <w:rsid w:val="00AA3A8F"/>
    <w:rsid w:val="00AF1B50"/>
    <w:rsid w:val="00B3016F"/>
    <w:rsid w:val="00B35DA5"/>
    <w:rsid w:val="00B47BCF"/>
    <w:rsid w:val="00B561BA"/>
    <w:rsid w:val="00B744B5"/>
    <w:rsid w:val="00B959C1"/>
    <w:rsid w:val="00BB418B"/>
    <w:rsid w:val="00BE704F"/>
    <w:rsid w:val="00C039D1"/>
    <w:rsid w:val="00C040A1"/>
    <w:rsid w:val="00C10A96"/>
    <w:rsid w:val="00C23AB9"/>
    <w:rsid w:val="00C32A28"/>
    <w:rsid w:val="00C3726D"/>
    <w:rsid w:val="00C737EC"/>
    <w:rsid w:val="00C74D3D"/>
    <w:rsid w:val="00C8368D"/>
    <w:rsid w:val="00C86E30"/>
    <w:rsid w:val="00CA3BA5"/>
    <w:rsid w:val="00CB6BA8"/>
    <w:rsid w:val="00CC0350"/>
    <w:rsid w:val="00CE08BC"/>
    <w:rsid w:val="00D02304"/>
    <w:rsid w:val="00D06316"/>
    <w:rsid w:val="00D22A46"/>
    <w:rsid w:val="00D276F2"/>
    <w:rsid w:val="00D33E6B"/>
    <w:rsid w:val="00D44C5C"/>
    <w:rsid w:val="00D64C4B"/>
    <w:rsid w:val="00D977DD"/>
    <w:rsid w:val="00DB4353"/>
    <w:rsid w:val="00DB64E9"/>
    <w:rsid w:val="00DC2F68"/>
    <w:rsid w:val="00DC73CC"/>
    <w:rsid w:val="00DC7546"/>
    <w:rsid w:val="00DD1577"/>
    <w:rsid w:val="00DD7632"/>
    <w:rsid w:val="00DF6866"/>
    <w:rsid w:val="00E0071A"/>
    <w:rsid w:val="00E11AD0"/>
    <w:rsid w:val="00E13FE6"/>
    <w:rsid w:val="00E320B1"/>
    <w:rsid w:val="00E33D61"/>
    <w:rsid w:val="00E42540"/>
    <w:rsid w:val="00E50CB8"/>
    <w:rsid w:val="00E87972"/>
    <w:rsid w:val="00E9271F"/>
    <w:rsid w:val="00EC1FBA"/>
    <w:rsid w:val="00F249C7"/>
    <w:rsid w:val="00F30EF6"/>
    <w:rsid w:val="00F53357"/>
    <w:rsid w:val="00F74958"/>
    <w:rsid w:val="00FB2EC6"/>
    <w:rsid w:val="00FD60E6"/>
    <w:rsid w:val="00FE4926"/>
    <w:rsid w:val="00FE688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strokecolor="none [3213]"/>
    </o:shapedefaults>
    <o:shapelayout v:ext="edit">
      <o:idmap v:ext="edit" data="1"/>
      <o:rules v:ext="edit">
        <o:r id="V:Rule2" type="connector" idref="#_x0000_s1027"/>
        <o:r id="V:Rule4" type="connector" idref="#_x0000_s1028"/>
        <o:r id="V:Rule6" type="arc" idref="#_x0000_s1029"/>
        <o:r id="V:Rule7" type="arc" idref="#_x0000_s1039"/>
        <o:r id="V:Rule8" type="arc" idref="#_x0000_s1040"/>
        <o:r id="V:Rule9" type="arc" idref="#_x0000_s1034"/>
        <o:r id="V:Rule10" type="arc" idref="#_x0000_s1033"/>
        <o:r id="V:Rule11" type="connector" idref="#_x0000_s1041"/>
        <o:r id="V:Rule12" type="connector" idref="#_x0000_s1042"/>
        <o:r id="V:Rule14" type="connector" idref="#_x0000_s1032"/>
        <o:r id="V:Rule15" type="connector" idref="#_x0000_s1036"/>
        <o:r id="V:Rule16" type="connector" idref="#_x0000_s1035"/>
        <o:r id="V:Rule17" type="connector" idref="#_x0000_s1037"/>
        <o:r id="V:Rule18" type="connector" idref="#_x0000_s1038"/>
        <o:r id="V:Rule19"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B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039D1"/>
    <w:pPr>
      <w:ind w:left="720"/>
      <w:contextualSpacing/>
    </w:pPr>
  </w:style>
  <w:style w:type="paragraph" w:styleId="Encabezado">
    <w:name w:val="header"/>
    <w:basedOn w:val="Normal"/>
    <w:link w:val="EncabezadoCar"/>
    <w:uiPriority w:val="99"/>
    <w:semiHidden/>
    <w:unhideWhenUsed/>
    <w:rsid w:val="00070E8A"/>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070E8A"/>
  </w:style>
  <w:style w:type="paragraph" w:styleId="Piedepgina">
    <w:name w:val="footer"/>
    <w:basedOn w:val="Normal"/>
    <w:link w:val="PiedepginaCar"/>
    <w:uiPriority w:val="99"/>
    <w:unhideWhenUsed/>
    <w:rsid w:val="00070E8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70E8A"/>
  </w:style>
  <w:style w:type="paragraph" w:styleId="Textodeglobo">
    <w:name w:val="Balloon Text"/>
    <w:basedOn w:val="Normal"/>
    <w:link w:val="TextodegloboCar"/>
    <w:uiPriority w:val="99"/>
    <w:semiHidden/>
    <w:unhideWhenUsed/>
    <w:rsid w:val="0003326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2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52143"/>
    <w:rsid w:val="00457F0C"/>
    <w:rsid w:val="00E521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45B6FD315E4F9A8C51E9BDA3D9EC66">
    <w:name w:val="AF45B6FD315E4F9A8C51E9BDA3D9EC66"/>
    <w:rsid w:val="00E52143"/>
  </w:style>
  <w:style w:type="paragraph" w:customStyle="1" w:styleId="56D770E6CFF94BF5B223CA0635579D51">
    <w:name w:val="56D770E6CFF94BF5B223CA0635579D51"/>
    <w:rsid w:val="00E521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COMPUTADORA</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Ignacio</cp:lastModifiedBy>
  <cp:revision>135</cp:revision>
  <dcterms:created xsi:type="dcterms:W3CDTF">2011-10-27T17:36:00Z</dcterms:created>
  <dcterms:modified xsi:type="dcterms:W3CDTF">2011-11-08T09:10:00Z</dcterms:modified>
</cp:coreProperties>
</file>