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C039D1" w:rsidRDefault="00C32A28" w:rsidP="00A06C5F">
      <w:pPr>
        <w:jc w:val="center"/>
        <w:rPr>
          <w:rFonts w:ascii="Consolas" w:eastAsia="Arial Unicode MS" w:hAnsi="Consolas" w:cs="Arial Unicode MS"/>
          <w:b/>
          <w:sz w:val="30"/>
          <w:szCs w:val="30"/>
          <w:u w:val="single"/>
        </w:rPr>
      </w:pP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Capitulo </w:t>
      </w:r>
      <w:r w:rsidR="00137B9C">
        <w:rPr>
          <w:rFonts w:ascii="Consolas" w:eastAsia="Arial Unicode MS" w:hAnsi="Consolas" w:cs="Arial Unicode MS"/>
          <w:b/>
          <w:sz w:val="30"/>
          <w:szCs w:val="30"/>
          <w:u w:val="single"/>
        </w:rPr>
        <w:t>25 –</w:t>
      </w:r>
      <w:r w:rsidR="001310D8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 </w:t>
      </w:r>
      <w:r w:rsidR="00137B9C">
        <w:rPr>
          <w:rFonts w:ascii="Consolas" w:eastAsia="Arial Unicode MS" w:hAnsi="Consolas" w:cs="Arial Unicode MS"/>
          <w:b/>
          <w:sz w:val="30"/>
          <w:szCs w:val="30"/>
          <w:u w:val="single"/>
        </w:rPr>
        <w:t>Las fluctuaciones económicas a corto plazo</w:t>
      </w:r>
    </w:p>
    <w:p w:rsidR="007452B8" w:rsidRDefault="007452B8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6F681C" w:rsidRDefault="006F681C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El PBI real no crece de manera uniforme:</w:t>
      </w:r>
    </w:p>
    <w:p w:rsidR="006F681C" w:rsidRDefault="006F681C" w:rsidP="006F681C">
      <w:pPr>
        <w:pStyle w:val="Prrafodelista"/>
        <w:numPr>
          <w:ilvl w:val="0"/>
          <w:numId w:val="9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 xml:space="preserve">Contracciones: </w:t>
      </w:r>
      <w:r>
        <w:rPr>
          <w:rFonts w:ascii="Consolas" w:eastAsia="Arial Unicode MS" w:hAnsi="Consolas" w:cs="Arial Unicode MS"/>
          <w:sz w:val="20"/>
          <w:szCs w:val="20"/>
        </w:rPr>
        <w:t>Periodos en los que la economía crece a una tasa inferior a la normal.</w:t>
      </w:r>
    </w:p>
    <w:p w:rsidR="006F681C" w:rsidRDefault="006F681C" w:rsidP="006F681C">
      <w:pPr>
        <w:pStyle w:val="Prrafodelista"/>
        <w:numPr>
          <w:ilvl w:val="0"/>
          <w:numId w:val="9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Expansiones:</w:t>
      </w:r>
      <w:r>
        <w:rPr>
          <w:rFonts w:ascii="Consolas" w:eastAsia="Arial Unicode MS" w:hAnsi="Consolas" w:cs="Arial Unicode MS"/>
          <w:sz w:val="20"/>
          <w:szCs w:val="20"/>
        </w:rPr>
        <w:t xml:space="preserve"> Periodos en los que la economía crece a una tasa superior a la normal.</w:t>
      </w:r>
    </w:p>
    <w:p w:rsidR="006F681C" w:rsidRDefault="006F681C" w:rsidP="006F681C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515"/>
        <w:gridCol w:w="1206"/>
      </w:tblGrid>
      <w:tr w:rsidR="006F681C" w:rsidTr="00037AE8">
        <w:trPr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CFF"/>
          </w:tcPr>
          <w:p w:rsidR="006F681C" w:rsidRPr="006F681C" w:rsidRDefault="006F681C" w:rsidP="006F681C">
            <w:pPr>
              <w:rPr>
                <w:rFonts w:ascii="Consolas" w:eastAsia="Arial Unicode MS" w:hAnsi="Consolas" w:cs="Arial Unicode MS"/>
                <w:b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Contracción grave o prolongada</w:t>
            </w:r>
          </w:p>
        </w:tc>
        <w:tc>
          <w:tcPr>
            <w:tcW w:w="0" w:type="auto"/>
          </w:tcPr>
          <w:p w:rsidR="006F681C" w:rsidRDefault="006F681C" w:rsidP="006F681C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Depresión</w:t>
            </w:r>
          </w:p>
        </w:tc>
      </w:tr>
      <w:tr w:rsidR="006F681C" w:rsidTr="00037AE8">
        <w:trPr>
          <w:jc w:val="center"/>
        </w:trPr>
        <w:tc>
          <w:tcPr>
            <w:tcW w:w="0" w:type="auto"/>
            <w:shd w:val="clear" w:color="auto" w:fill="CCFFCC"/>
          </w:tcPr>
          <w:p w:rsidR="006F681C" w:rsidRPr="006F681C" w:rsidRDefault="006F681C" w:rsidP="006F681C">
            <w:pPr>
              <w:rPr>
                <w:rFonts w:ascii="Consolas" w:eastAsia="Arial Unicode MS" w:hAnsi="Consolas" w:cs="Arial Unicode MS"/>
                <w:b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Expansión fuerte</w:t>
            </w:r>
          </w:p>
        </w:tc>
        <w:tc>
          <w:tcPr>
            <w:tcW w:w="0" w:type="auto"/>
          </w:tcPr>
          <w:p w:rsidR="006F681C" w:rsidRDefault="006F681C" w:rsidP="006F681C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Auge</w:t>
            </w:r>
          </w:p>
        </w:tc>
      </w:tr>
    </w:tbl>
    <w:p w:rsidR="006F681C" w:rsidRDefault="006F681C" w:rsidP="006F681C">
      <w:pPr>
        <w:rPr>
          <w:rFonts w:ascii="Consolas" w:eastAsia="Arial Unicode MS" w:hAnsi="Consolas" w:cs="Arial Unicode MS"/>
          <w:sz w:val="20"/>
          <w:szCs w:val="20"/>
        </w:rPr>
      </w:pPr>
    </w:p>
    <w:p w:rsidR="006F681C" w:rsidRDefault="006F681C" w:rsidP="006F681C">
      <w:pPr>
        <w:pStyle w:val="Prrafodelista"/>
        <w:numPr>
          <w:ilvl w:val="0"/>
          <w:numId w:val="10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comienzo de una contracción se denomina </w:t>
      </w:r>
      <w:r>
        <w:rPr>
          <w:rFonts w:ascii="Consolas" w:eastAsia="Arial Unicode MS" w:hAnsi="Consolas" w:cs="Arial Unicode MS"/>
          <w:b/>
          <w:sz w:val="20"/>
          <w:szCs w:val="20"/>
        </w:rPr>
        <w:t>Cumbre</w:t>
      </w:r>
      <w:r>
        <w:rPr>
          <w:rFonts w:ascii="Consolas" w:eastAsia="Arial Unicode MS" w:hAnsi="Consolas" w:cs="Arial Unicode MS"/>
          <w:sz w:val="20"/>
          <w:szCs w:val="20"/>
        </w:rPr>
        <w:t>. Representa el punto máximo de la actividad económica previa a una contracción.</w:t>
      </w:r>
    </w:p>
    <w:p w:rsidR="006F681C" w:rsidRDefault="006F681C" w:rsidP="006F681C">
      <w:pPr>
        <w:pStyle w:val="Prrafodelista"/>
        <w:numPr>
          <w:ilvl w:val="0"/>
          <w:numId w:val="10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fin de una contracción se denomina </w:t>
      </w:r>
      <w:r>
        <w:rPr>
          <w:rFonts w:ascii="Consolas" w:eastAsia="Arial Unicode MS" w:hAnsi="Consolas" w:cs="Arial Unicode MS"/>
          <w:b/>
          <w:sz w:val="20"/>
          <w:szCs w:val="20"/>
        </w:rPr>
        <w:t>Valle</w:t>
      </w:r>
      <w:r>
        <w:rPr>
          <w:rFonts w:ascii="Consolas" w:eastAsia="Arial Unicode MS" w:hAnsi="Consolas" w:cs="Arial Unicode MS"/>
          <w:sz w:val="20"/>
          <w:szCs w:val="20"/>
        </w:rPr>
        <w:t xml:space="preserve">. Representa el punto </w:t>
      </w:r>
      <w:r w:rsidR="00683A60">
        <w:rPr>
          <w:rFonts w:ascii="Consolas" w:eastAsia="Arial Unicode MS" w:hAnsi="Consolas" w:cs="Arial Unicode MS"/>
          <w:sz w:val="20"/>
          <w:szCs w:val="20"/>
        </w:rPr>
        <w:t>mínimo</w:t>
      </w:r>
      <w:r>
        <w:rPr>
          <w:rFonts w:ascii="Consolas" w:eastAsia="Arial Unicode MS" w:hAnsi="Consolas" w:cs="Arial Unicode MS"/>
          <w:sz w:val="20"/>
          <w:szCs w:val="20"/>
        </w:rPr>
        <w:t xml:space="preserve"> de la actividad económica previo a una recuperación.</w:t>
      </w:r>
    </w:p>
    <w:p w:rsidR="00683A60" w:rsidRDefault="00683A60" w:rsidP="00683A60">
      <w:pPr>
        <w:rPr>
          <w:rFonts w:ascii="Consolas" w:eastAsia="Arial Unicode MS" w:hAnsi="Consolas" w:cs="Arial Unicode MS"/>
          <w:sz w:val="20"/>
          <w:szCs w:val="20"/>
        </w:rPr>
      </w:pPr>
    </w:p>
    <w:p w:rsidR="00683A60" w:rsidRDefault="00683A60" w:rsidP="00683A60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Las fluctuaciones económicas a corto plazo son de duración y gravedad irregulares, y difíciles de predecir.</w:t>
      </w:r>
    </w:p>
    <w:p w:rsidR="00683A60" w:rsidRDefault="00683A60" w:rsidP="00683A60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Las </w:t>
      </w:r>
      <w:r w:rsidR="00037CA6">
        <w:rPr>
          <w:rFonts w:ascii="Consolas" w:eastAsia="Arial Unicode MS" w:hAnsi="Consolas" w:cs="Arial Unicode MS"/>
          <w:b/>
          <w:sz w:val="20"/>
          <w:szCs w:val="20"/>
        </w:rPr>
        <w:t>Expansiones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 </w:t>
      </w:r>
      <w:r>
        <w:rPr>
          <w:rFonts w:ascii="Consolas" w:eastAsia="Arial Unicode MS" w:hAnsi="Consolas" w:cs="Arial Unicode MS"/>
          <w:sz w:val="20"/>
          <w:szCs w:val="20"/>
        </w:rPr>
        <w:t xml:space="preserve">y las </w:t>
      </w:r>
      <w:r>
        <w:rPr>
          <w:rFonts w:ascii="Consolas" w:eastAsia="Arial Unicode MS" w:hAnsi="Consolas" w:cs="Arial Unicode MS"/>
          <w:b/>
          <w:sz w:val="20"/>
          <w:szCs w:val="20"/>
        </w:rPr>
        <w:t>Contracciones</w:t>
      </w:r>
      <w:r>
        <w:rPr>
          <w:rFonts w:ascii="Consolas" w:eastAsia="Arial Unicode MS" w:hAnsi="Consolas" w:cs="Arial Unicode MS"/>
          <w:sz w:val="20"/>
          <w:szCs w:val="20"/>
        </w:rPr>
        <w:t xml:space="preserve"> se dejan sentir en toda la economía y pueden ser de alcance internacional.</w:t>
      </w:r>
    </w:p>
    <w:p w:rsidR="00F30EF6" w:rsidRDefault="00F30EF6" w:rsidP="00683A60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Durante las </w:t>
      </w:r>
      <w:r>
        <w:rPr>
          <w:rFonts w:ascii="Consolas" w:eastAsia="Arial Unicode MS" w:hAnsi="Consolas" w:cs="Arial Unicode MS"/>
          <w:b/>
          <w:sz w:val="20"/>
          <w:szCs w:val="20"/>
        </w:rPr>
        <w:t>Contracciones</w:t>
      </w:r>
      <w:r>
        <w:rPr>
          <w:rFonts w:ascii="Consolas" w:eastAsia="Arial Unicode MS" w:hAnsi="Consolas" w:cs="Arial Unicode MS"/>
          <w:sz w:val="20"/>
          <w:szCs w:val="20"/>
        </w:rPr>
        <w:t>, el desempleo aumenta, mientras que las inflaciones tienden a disminuir.</w:t>
      </w:r>
    </w:p>
    <w:p w:rsidR="005C19B8" w:rsidRDefault="005C19B8" w:rsidP="00683A60">
      <w:pPr>
        <w:rPr>
          <w:rFonts w:ascii="Consolas" w:eastAsia="Arial Unicode MS" w:hAnsi="Consolas" w:cs="Arial Unicode MS"/>
          <w:sz w:val="20"/>
          <w:szCs w:val="20"/>
        </w:rPr>
      </w:pPr>
    </w:p>
    <w:p w:rsidR="005C19B8" w:rsidRDefault="005C19B8" w:rsidP="00683A60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PRODUCCION POTENCIAL O PRODUCCION DE PLENO EMPLEO:</w:t>
      </w:r>
    </w:p>
    <w:p w:rsidR="005C19B8" w:rsidRDefault="005C19B8" w:rsidP="00683A60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la cantidad máxima de producción (PBI real) que puede mantenerse y que puede producir una economía.</w:t>
      </w:r>
    </w:p>
    <w:p w:rsidR="005C19B8" w:rsidRDefault="005C19B8" w:rsidP="00683A60">
      <w:pPr>
        <w:rPr>
          <w:rFonts w:ascii="Consolas" w:eastAsia="Arial Unicode MS" w:hAnsi="Consolas" w:cs="Arial Unicode MS"/>
          <w:sz w:val="20"/>
          <w:szCs w:val="20"/>
        </w:rPr>
      </w:pPr>
    </w:p>
    <w:p w:rsidR="005C19B8" w:rsidRDefault="005C19B8" w:rsidP="00683A60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 diferencia entre la producción potencial y la efectiva, se denomina </w:t>
      </w:r>
      <w:r>
        <w:rPr>
          <w:rFonts w:ascii="Consolas" w:eastAsia="Arial Unicode MS" w:hAnsi="Consolas" w:cs="Arial Unicode MS"/>
          <w:b/>
          <w:sz w:val="20"/>
          <w:szCs w:val="20"/>
        </w:rPr>
        <w:t>Brecha de producción</w:t>
      </w:r>
      <w:r>
        <w:rPr>
          <w:rFonts w:ascii="Consolas" w:eastAsia="Arial Unicode MS" w:hAnsi="Consolas" w:cs="Arial Unicode MS"/>
          <w:sz w:val="20"/>
          <w:szCs w:val="20"/>
        </w:rPr>
        <w:t>.</w:t>
      </w:r>
    </w:p>
    <w:p w:rsidR="005C19B8" w:rsidRDefault="005C19B8" w:rsidP="00683A60">
      <w:pPr>
        <w:rPr>
          <w:rFonts w:ascii="Consolas" w:eastAsia="Arial Unicode MS" w:hAnsi="Consolas" w:cs="Arial Unicode MS"/>
          <w:sz w:val="20"/>
          <w:szCs w:val="20"/>
        </w:rPr>
      </w:pPr>
    </w:p>
    <w:p w:rsidR="005C19B8" w:rsidRPr="005C19B8" w:rsidRDefault="005C19B8" w:rsidP="005C19B8">
      <w:pPr>
        <w:pStyle w:val="Prrafodelista"/>
        <w:numPr>
          <w:ilvl w:val="0"/>
          <w:numId w:val="11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Producción inferior a la potencial </w:t>
      </w:r>
      <w:r w:rsidRPr="005C19B8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</w:t>
      </w:r>
      <w:r>
        <w:rPr>
          <w:rFonts w:ascii="Consolas" w:eastAsia="Arial Unicode MS" w:hAnsi="Consolas" w:cs="Arial Unicode MS"/>
          <w:b/>
          <w:sz w:val="20"/>
          <w:szCs w:val="20"/>
        </w:rPr>
        <w:t>Brecha contractiva</w:t>
      </w:r>
    </w:p>
    <w:p w:rsidR="005C19B8" w:rsidRPr="00B561BA" w:rsidRDefault="00643BD9" w:rsidP="005C19B8">
      <w:pPr>
        <w:pStyle w:val="Prrafodelista"/>
        <w:numPr>
          <w:ilvl w:val="0"/>
          <w:numId w:val="11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Producción</w:t>
      </w:r>
      <w:r w:rsidR="005C19B8">
        <w:rPr>
          <w:rFonts w:ascii="Consolas" w:eastAsia="Arial Unicode MS" w:hAnsi="Consolas" w:cs="Arial Unicode MS"/>
          <w:sz w:val="20"/>
          <w:szCs w:val="20"/>
        </w:rPr>
        <w:t xml:space="preserve"> superior a la potencial </w:t>
      </w:r>
      <w:r w:rsidR="005C19B8" w:rsidRPr="005C19B8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 w:rsidR="005C19B8">
        <w:rPr>
          <w:rFonts w:ascii="Consolas" w:eastAsia="Arial Unicode MS" w:hAnsi="Consolas" w:cs="Arial Unicode MS"/>
          <w:sz w:val="20"/>
          <w:szCs w:val="20"/>
        </w:rPr>
        <w:t xml:space="preserve"> </w:t>
      </w:r>
      <w:r w:rsidR="005C19B8">
        <w:rPr>
          <w:rFonts w:ascii="Consolas" w:eastAsia="Arial Unicode MS" w:hAnsi="Consolas" w:cs="Arial Unicode MS"/>
          <w:b/>
          <w:sz w:val="20"/>
          <w:szCs w:val="20"/>
        </w:rPr>
        <w:t>Brecha expansiva</w:t>
      </w:r>
    </w:p>
    <w:p w:rsidR="00B561BA" w:rsidRDefault="00B561BA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B561BA" w:rsidRDefault="00B561BA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Las contracciones se producen porque la producción potencial crece a un ritmo excepcionalmente lento, o porque la producción efectiva es inferior a la potencial.</w:t>
      </w:r>
    </w:p>
    <w:p w:rsidR="0070591E" w:rsidRDefault="0070591E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70591E" w:rsidRDefault="0070591E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Como las brechas contractivas representan recursos despilfarrados y las brechas expansivas amenazan con crear inflación, los responsables de la política económica tienen un incentivo para tratar de eliminar ambos tipos de brechas.</w:t>
      </w:r>
    </w:p>
    <w:p w:rsidR="00C74D3D" w:rsidRDefault="00C74D3D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C74D3D" w:rsidRDefault="00C74D3D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TASA NATURAL DE DESEMPLEO:</w:t>
      </w:r>
    </w:p>
    <w:p w:rsidR="00C74D3D" w:rsidRDefault="002F2610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la parte de la tasa total de desempleo que es atribuible al desempleo friccional y estructural.</w:t>
      </w:r>
    </w:p>
    <w:p w:rsidR="002F2610" w:rsidRDefault="002F2610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la tasa de desempleo que se produce cuando la brecha de producción es cero.</w:t>
      </w:r>
    </w:p>
    <w:p w:rsidR="00154A8F" w:rsidRDefault="00154A8F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154A8F" w:rsidRPr="00DF6866" w:rsidRDefault="00154A8F" w:rsidP="00DF6866">
      <w:pPr>
        <w:jc w:val="center"/>
        <w:rPr>
          <w:rFonts w:ascii="Consolas" w:eastAsia="Arial Unicode MS" w:hAnsi="Consolas" w:cs="Arial Unicode MS"/>
          <w:b/>
          <w:i/>
          <w:sz w:val="20"/>
          <w:szCs w:val="20"/>
        </w:rPr>
      </w:pPr>
      <w:r w:rsidRPr="00DF6866">
        <w:rPr>
          <w:rFonts w:ascii="Consolas" w:eastAsia="Arial Unicode MS" w:hAnsi="Consolas" w:cs="Arial Unicode MS"/>
          <w:b/>
          <w:i/>
          <w:sz w:val="20"/>
          <w:szCs w:val="20"/>
        </w:rPr>
        <w:t>El desempleo cíclico (parte del desempleo relacionada con las contracciones y las expansiones)</w:t>
      </w:r>
      <w:r w:rsidR="009A1D33" w:rsidRPr="00DF6866">
        <w:rPr>
          <w:rFonts w:ascii="Consolas" w:eastAsia="Arial Unicode MS" w:hAnsi="Consolas" w:cs="Arial Unicode MS"/>
          <w:b/>
          <w:i/>
          <w:sz w:val="20"/>
          <w:szCs w:val="20"/>
        </w:rPr>
        <w:t xml:space="preserve"> es igual a la tasa total de desempleo menos la tasa natural de desempleo.</w:t>
      </w:r>
    </w:p>
    <w:p w:rsidR="009A1D33" w:rsidRDefault="009A1D33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DF6866" w:rsidRPr="00DF6866" w:rsidRDefault="00DF6866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desempleo cíclico esta relacionado con la brecha de producción por medio de la ley de </w:t>
      </w:r>
      <w:r>
        <w:rPr>
          <w:rFonts w:ascii="Consolas" w:eastAsia="Arial Unicode MS" w:hAnsi="Consolas" w:cs="Arial Unicode MS"/>
          <w:b/>
          <w:sz w:val="20"/>
          <w:szCs w:val="20"/>
        </w:rPr>
        <w:t>Okun</w:t>
      </w:r>
      <w:r>
        <w:rPr>
          <w:rFonts w:ascii="Consolas" w:eastAsia="Arial Unicode MS" w:hAnsi="Consolas" w:cs="Arial Unicode MS"/>
          <w:sz w:val="20"/>
          <w:szCs w:val="20"/>
        </w:rPr>
        <w:t xml:space="preserve">, según la cual, cada punto porcentual adicional de desempleo </w:t>
      </w:r>
      <w:r w:rsidR="00184E84">
        <w:rPr>
          <w:rFonts w:ascii="Consolas" w:eastAsia="Arial Unicode MS" w:hAnsi="Consolas" w:cs="Arial Unicode MS"/>
          <w:sz w:val="20"/>
          <w:szCs w:val="20"/>
        </w:rPr>
        <w:t>cíclico</w:t>
      </w:r>
      <w:r>
        <w:rPr>
          <w:rFonts w:ascii="Consolas" w:eastAsia="Arial Unicode MS" w:hAnsi="Consolas" w:cs="Arial Unicode MS"/>
          <w:sz w:val="20"/>
          <w:szCs w:val="20"/>
        </w:rPr>
        <w:t xml:space="preserve"> va acompañado de un aumento de la brecha de la producción.</w:t>
      </w:r>
    </w:p>
    <w:sectPr w:rsidR="00DF6866" w:rsidRPr="00DF6866" w:rsidSect="00EC1F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04" w:rsidRDefault="003E2504" w:rsidP="00070E8A">
      <w:pPr>
        <w:spacing w:line="240" w:lineRule="auto"/>
      </w:pPr>
      <w:r>
        <w:separator/>
      </w:r>
    </w:p>
  </w:endnote>
  <w:endnote w:type="continuationSeparator" w:id="1">
    <w:p w:rsidR="003E2504" w:rsidRDefault="003E2504" w:rsidP="000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18"/>
      <w:docPartObj>
        <w:docPartGallery w:val="Page Numbers (Bottom of Page)"/>
        <w:docPartUnique/>
      </w:docPartObj>
    </w:sdtPr>
    <w:sdtContent>
      <w:p w:rsidR="00070E8A" w:rsidRDefault="00F74958">
        <w:pPr>
          <w:pStyle w:val="Piedepgin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04" w:rsidRDefault="003E2504" w:rsidP="00070E8A">
      <w:pPr>
        <w:spacing w:line="240" w:lineRule="auto"/>
      </w:pPr>
      <w:r>
        <w:separator/>
      </w:r>
    </w:p>
  </w:footnote>
  <w:footnote w:type="continuationSeparator" w:id="1">
    <w:p w:rsidR="003E2504" w:rsidRDefault="003E2504" w:rsidP="00070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E6C"/>
    <w:multiLevelType w:val="hybridMultilevel"/>
    <w:tmpl w:val="151C366E"/>
    <w:lvl w:ilvl="0" w:tplc="FF701B48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377A"/>
    <w:multiLevelType w:val="hybridMultilevel"/>
    <w:tmpl w:val="27FE7D7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54E5"/>
    <w:multiLevelType w:val="hybridMultilevel"/>
    <w:tmpl w:val="32AAF2C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2346"/>
    <w:multiLevelType w:val="hybridMultilevel"/>
    <w:tmpl w:val="BCF69954"/>
    <w:lvl w:ilvl="0" w:tplc="12325BF8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2D77"/>
    <w:multiLevelType w:val="hybridMultilevel"/>
    <w:tmpl w:val="CC8E1A20"/>
    <w:lvl w:ilvl="0" w:tplc="10C4B09C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394B"/>
    <w:multiLevelType w:val="hybridMultilevel"/>
    <w:tmpl w:val="7F00BB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02BB"/>
    <w:multiLevelType w:val="hybridMultilevel"/>
    <w:tmpl w:val="F8D82D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F6E6C"/>
    <w:multiLevelType w:val="hybridMultilevel"/>
    <w:tmpl w:val="DC9E1C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C1D81"/>
    <w:multiLevelType w:val="hybridMultilevel"/>
    <w:tmpl w:val="313C52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4497"/>
    <w:multiLevelType w:val="hybridMultilevel"/>
    <w:tmpl w:val="18A03544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5142DC"/>
    <w:multiLevelType w:val="hybridMultilevel"/>
    <w:tmpl w:val="0E7E49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32A28"/>
    <w:rsid w:val="0003326C"/>
    <w:rsid w:val="00037AE8"/>
    <w:rsid w:val="00037CA6"/>
    <w:rsid w:val="00045212"/>
    <w:rsid w:val="00070E8A"/>
    <w:rsid w:val="00074E31"/>
    <w:rsid w:val="00087000"/>
    <w:rsid w:val="00104EBD"/>
    <w:rsid w:val="00113102"/>
    <w:rsid w:val="001310D8"/>
    <w:rsid w:val="00137B9C"/>
    <w:rsid w:val="0014700C"/>
    <w:rsid w:val="00154A8F"/>
    <w:rsid w:val="00161E08"/>
    <w:rsid w:val="0016357D"/>
    <w:rsid w:val="00163D60"/>
    <w:rsid w:val="00184E84"/>
    <w:rsid w:val="00185DBA"/>
    <w:rsid w:val="001A3A6C"/>
    <w:rsid w:val="001F34B4"/>
    <w:rsid w:val="00227E5C"/>
    <w:rsid w:val="00274915"/>
    <w:rsid w:val="002B34FE"/>
    <w:rsid w:val="002E5E77"/>
    <w:rsid w:val="002E5F58"/>
    <w:rsid w:val="002F2610"/>
    <w:rsid w:val="00305271"/>
    <w:rsid w:val="00373D88"/>
    <w:rsid w:val="003B472A"/>
    <w:rsid w:val="003E2504"/>
    <w:rsid w:val="00416975"/>
    <w:rsid w:val="004440E7"/>
    <w:rsid w:val="00484952"/>
    <w:rsid w:val="00495700"/>
    <w:rsid w:val="00525508"/>
    <w:rsid w:val="00555F30"/>
    <w:rsid w:val="005B3EAF"/>
    <w:rsid w:val="005C19B8"/>
    <w:rsid w:val="005E049F"/>
    <w:rsid w:val="005F6365"/>
    <w:rsid w:val="00627480"/>
    <w:rsid w:val="00643AB5"/>
    <w:rsid w:val="00643BD9"/>
    <w:rsid w:val="0068389C"/>
    <w:rsid w:val="00683A60"/>
    <w:rsid w:val="006B548A"/>
    <w:rsid w:val="006C2E71"/>
    <w:rsid w:val="006F54E0"/>
    <w:rsid w:val="006F681C"/>
    <w:rsid w:val="0070591E"/>
    <w:rsid w:val="007452B8"/>
    <w:rsid w:val="00752950"/>
    <w:rsid w:val="00780405"/>
    <w:rsid w:val="007B03E3"/>
    <w:rsid w:val="007C28FC"/>
    <w:rsid w:val="007D171A"/>
    <w:rsid w:val="007F7E2F"/>
    <w:rsid w:val="008A70B6"/>
    <w:rsid w:val="009135B8"/>
    <w:rsid w:val="00965F56"/>
    <w:rsid w:val="009A1D33"/>
    <w:rsid w:val="009C358C"/>
    <w:rsid w:val="00A06C5F"/>
    <w:rsid w:val="00A86949"/>
    <w:rsid w:val="00AA3A8F"/>
    <w:rsid w:val="00AF1B50"/>
    <w:rsid w:val="00B35DA5"/>
    <w:rsid w:val="00B47BCF"/>
    <w:rsid w:val="00B561BA"/>
    <w:rsid w:val="00B744B5"/>
    <w:rsid w:val="00B959C1"/>
    <w:rsid w:val="00BB418B"/>
    <w:rsid w:val="00C039D1"/>
    <w:rsid w:val="00C040A1"/>
    <w:rsid w:val="00C23AB9"/>
    <w:rsid w:val="00C32A28"/>
    <w:rsid w:val="00C74D3D"/>
    <w:rsid w:val="00C86E30"/>
    <w:rsid w:val="00CA3BA5"/>
    <w:rsid w:val="00CB6BA8"/>
    <w:rsid w:val="00D02304"/>
    <w:rsid w:val="00D22A46"/>
    <w:rsid w:val="00D276F2"/>
    <w:rsid w:val="00D33E6B"/>
    <w:rsid w:val="00D44C5C"/>
    <w:rsid w:val="00D64C4B"/>
    <w:rsid w:val="00D977DD"/>
    <w:rsid w:val="00DB4353"/>
    <w:rsid w:val="00DB64E9"/>
    <w:rsid w:val="00DC2F68"/>
    <w:rsid w:val="00DC73CC"/>
    <w:rsid w:val="00DC7546"/>
    <w:rsid w:val="00DF6866"/>
    <w:rsid w:val="00E0071A"/>
    <w:rsid w:val="00E11AD0"/>
    <w:rsid w:val="00E320B1"/>
    <w:rsid w:val="00E33D61"/>
    <w:rsid w:val="00E87972"/>
    <w:rsid w:val="00E9271F"/>
    <w:rsid w:val="00EC1FBA"/>
    <w:rsid w:val="00F249C7"/>
    <w:rsid w:val="00F30EF6"/>
    <w:rsid w:val="00F53357"/>
    <w:rsid w:val="00F74958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8A"/>
  </w:style>
  <w:style w:type="paragraph" w:styleId="Piedepgina">
    <w:name w:val="footer"/>
    <w:basedOn w:val="Normal"/>
    <w:link w:val="PiedepginaCar"/>
    <w:uiPriority w:val="99"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E8A"/>
  </w:style>
  <w:style w:type="paragraph" w:styleId="Textodeglobo">
    <w:name w:val="Balloon Text"/>
    <w:basedOn w:val="Normal"/>
    <w:link w:val="TextodegloboCar"/>
    <w:uiPriority w:val="99"/>
    <w:semiHidden/>
    <w:unhideWhenUsed/>
    <w:rsid w:val="0003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93</cp:revision>
  <dcterms:created xsi:type="dcterms:W3CDTF">2011-10-27T17:36:00Z</dcterms:created>
  <dcterms:modified xsi:type="dcterms:W3CDTF">2011-10-31T23:47:00Z</dcterms:modified>
</cp:coreProperties>
</file>