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A28" w:rsidRPr="00C039D1" w:rsidRDefault="00C32A28" w:rsidP="00A06C5F">
      <w:pPr>
        <w:jc w:val="center"/>
        <w:rPr>
          <w:rFonts w:ascii="Consolas" w:eastAsia="Arial Unicode MS" w:hAnsi="Consolas" w:cs="Arial Unicode MS"/>
          <w:b/>
          <w:sz w:val="30"/>
          <w:szCs w:val="30"/>
          <w:u w:val="single"/>
        </w:rPr>
      </w:pPr>
      <w:r w:rsidRPr="00C039D1">
        <w:rPr>
          <w:rFonts w:ascii="Consolas" w:eastAsia="Arial Unicode MS" w:hAnsi="Consolas" w:cs="Arial Unicode MS"/>
          <w:b/>
          <w:sz w:val="30"/>
          <w:szCs w:val="30"/>
          <w:u w:val="single"/>
        </w:rPr>
        <w:t xml:space="preserve">Capitulo </w:t>
      </w:r>
      <w:r w:rsidR="00137B9C">
        <w:rPr>
          <w:rFonts w:ascii="Consolas" w:eastAsia="Arial Unicode MS" w:hAnsi="Consolas" w:cs="Arial Unicode MS"/>
          <w:b/>
          <w:sz w:val="30"/>
          <w:szCs w:val="30"/>
          <w:u w:val="single"/>
        </w:rPr>
        <w:t>25 –</w:t>
      </w:r>
      <w:r w:rsidR="001310D8">
        <w:rPr>
          <w:rFonts w:ascii="Consolas" w:eastAsia="Arial Unicode MS" w:hAnsi="Consolas" w:cs="Arial Unicode MS"/>
          <w:b/>
          <w:sz w:val="30"/>
          <w:szCs w:val="30"/>
          <w:u w:val="single"/>
        </w:rPr>
        <w:t xml:space="preserve"> </w:t>
      </w:r>
      <w:r w:rsidR="00137B9C">
        <w:rPr>
          <w:rFonts w:ascii="Consolas" w:eastAsia="Arial Unicode MS" w:hAnsi="Consolas" w:cs="Arial Unicode MS"/>
          <w:b/>
          <w:sz w:val="30"/>
          <w:szCs w:val="30"/>
          <w:u w:val="single"/>
        </w:rPr>
        <w:t>Las fluctuaciones económicas a corto plazo</w:t>
      </w:r>
    </w:p>
    <w:p w:rsidR="007452B8" w:rsidRDefault="007452B8" w:rsidP="00C32A28">
      <w:pPr>
        <w:rPr>
          <w:rFonts w:ascii="Consolas" w:eastAsia="Arial Unicode MS" w:hAnsi="Consolas" w:cs="Arial Unicode MS"/>
          <w:sz w:val="20"/>
          <w:szCs w:val="20"/>
        </w:rPr>
      </w:pPr>
    </w:p>
    <w:p w:rsidR="006F681C" w:rsidRDefault="006F681C" w:rsidP="00C32A28">
      <w:p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sz w:val="20"/>
          <w:szCs w:val="20"/>
        </w:rPr>
        <w:t>El PBI real no crece de manera uniforme:</w:t>
      </w:r>
    </w:p>
    <w:p w:rsidR="006F681C" w:rsidRDefault="006F681C" w:rsidP="006F681C">
      <w:pPr>
        <w:pStyle w:val="Prrafodelista"/>
        <w:numPr>
          <w:ilvl w:val="0"/>
          <w:numId w:val="9"/>
        </w:num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b/>
          <w:sz w:val="20"/>
          <w:szCs w:val="20"/>
        </w:rPr>
        <w:t xml:space="preserve">Contracciones: </w:t>
      </w:r>
      <w:r>
        <w:rPr>
          <w:rFonts w:ascii="Consolas" w:eastAsia="Arial Unicode MS" w:hAnsi="Consolas" w:cs="Arial Unicode MS"/>
          <w:sz w:val="20"/>
          <w:szCs w:val="20"/>
        </w:rPr>
        <w:t>Periodos en los que la economía crece a una tasa inferior a la normal.</w:t>
      </w:r>
    </w:p>
    <w:p w:rsidR="006F681C" w:rsidRDefault="006F681C" w:rsidP="006F681C">
      <w:pPr>
        <w:pStyle w:val="Prrafodelista"/>
        <w:numPr>
          <w:ilvl w:val="0"/>
          <w:numId w:val="9"/>
        </w:num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b/>
          <w:sz w:val="20"/>
          <w:szCs w:val="20"/>
        </w:rPr>
        <w:t>Expansiones:</w:t>
      </w:r>
      <w:r>
        <w:rPr>
          <w:rFonts w:ascii="Consolas" w:eastAsia="Arial Unicode MS" w:hAnsi="Consolas" w:cs="Arial Unicode MS"/>
          <w:sz w:val="20"/>
          <w:szCs w:val="20"/>
        </w:rPr>
        <w:t xml:space="preserve"> Periodos en los que la economía crece a una tasa superior a la normal.</w:t>
      </w:r>
    </w:p>
    <w:p w:rsidR="006F681C" w:rsidRDefault="006F681C" w:rsidP="006F681C">
      <w:pPr>
        <w:rPr>
          <w:rFonts w:ascii="Consolas" w:eastAsia="Arial Unicode MS" w:hAnsi="Consolas" w:cs="Arial Unicode MS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/>
      </w:tblPr>
      <w:tblGrid>
        <w:gridCol w:w="3515"/>
        <w:gridCol w:w="1206"/>
      </w:tblGrid>
      <w:tr w:rsidR="006F681C" w:rsidTr="00037AE8">
        <w:trPr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shd w:val="clear" w:color="auto" w:fill="FFCCFF"/>
          </w:tcPr>
          <w:p w:rsidR="006F681C" w:rsidRPr="006F681C" w:rsidRDefault="006F681C" w:rsidP="006F681C">
            <w:pPr>
              <w:rPr>
                <w:rFonts w:ascii="Consolas" w:eastAsia="Arial Unicode MS" w:hAnsi="Consolas" w:cs="Arial Unicode MS"/>
                <w:b/>
                <w:sz w:val="20"/>
                <w:szCs w:val="20"/>
              </w:rPr>
            </w:pPr>
            <w:r>
              <w:rPr>
                <w:rFonts w:ascii="Consolas" w:eastAsia="Arial Unicode MS" w:hAnsi="Consolas" w:cs="Arial Unicode MS"/>
                <w:b/>
                <w:sz w:val="20"/>
                <w:szCs w:val="20"/>
              </w:rPr>
              <w:t>Contracción grave o prolongada</w:t>
            </w:r>
          </w:p>
        </w:tc>
        <w:tc>
          <w:tcPr>
            <w:tcW w:w="0" w:type="auto"/>
          </w:tcPr>
          <w:p w:rsidR="006F681C" w:rsidRDefault="006F681C" w:rsidP="006F681C">
            <w:pPr>
              <w:rPr>
                <w:rFonts w:ascii="Consolas" w:eastAsia="Arial Unicode MS" w:hAnsi="Consolas" w:cs="Arial Unicode MS"/>
                <w:sz w:val="20"/>
                <w:szCs w:val="20"/>
              </w:rPr>
            </w:pPr>
            <w:r>
              <w:rPr>
                <w:rFonts w:ascii="Consolas" w:eastAsia="Arial Unicode MS" w:hAnsi="Consolas" w:cs="Arial Unicode MS"/>
                <w:sz w:val="20"/>
                <w:szCs w:val="20"/>
              </w:rPr>
              <w:t>Depresión</w:t>
            </w:r>
          </w:p>
        </w:tc>
      </w:tr>
      <w:tr w:rsidR="006F681C" w:rsidTr="00037AE8">
        <w:trPr>
          <w:jc w:val="center"/>
        </w:trPr>
        <w:tc>
          <w:tcPr>
            <w:tcW w:w="0" w:type="auto"/>
            <w:shd w:val="clear" w:color="auto" w:fill="CCFFCC"/>
          </w:tcPr>
          <w:p w:rsidR="006F681C" w:rsidRPr="006F681C" w:rsidRDefault="006F681C" w:rsidP="006F681C">
            <w:pPr>
              <w:rPr>
                <w:rFonts w:ascii="Consolas" w:eastAsia="Arial Unicode MS" w:hAnsi="Consolas" w:cs="Arial Unicode MS"/>
                <w:b/>
                <w:sz w:val="20"/>
                <w:szCs w:val="20"/>
              </w:rPr>
            </w:pPr>
            <w:r>
              <w:rPr>
                <w:rFonts w:ascii="Consolas" w:eastAsia="Arial Unicode MS" w:hAnsi="Consolas" w:cs="Arial Unicode MS"/>
                <w:b/>
                <w:sz w:val="20"/>
                <w:szCs w:val="20"/>
              </w:rPr>
              <w:t>Expansión fuerte</w:t>
            </w:r>
          </w:p>
        </w:tc>
        <w:tc>
          <w:tcPr>
            <w:tcW w:w="0" w:type="auto"/>
          </w:tcPr>
          <w:p w:rsidR="006F681C" w:rsidRDefault="006F681C" w:rsidP="006F681C">
            <w:pPr>
              <w:rPr>
                <w:rFonts w:ascii="Consolas" w:eastAsia="Arial Unicode MS" w:hAnsi="Consolas" w:cs="Arial Unicode MS"/>
                <w:sz w:val="20"/>
                <w:szCs w:val="20"/>
              </w:rPr>
            </w:pPr>
            <w:r>
              <w:rPr>
                <w:rFonts w:ascii="Consolas" w:eastAsia="Arial Unicode MS" w:hAnsi="Consolas" w:cs="Arial Unicode MS"/>
                <w:sz w:val="20"/>
                <w:szCs w:val="20"/>
              </w:rPr>
              <w:t>Auge</w:t>
            </w:r>
          </w:p>
        </w:tc>
      </w:tr>
    </w:tbl>
    <w:p w:rsidR="006F681C" w:rsidRDefault="006F681C" w:rsidP="006F681C">
      <w:pPr>
        <w:rPr>
          <w:rFonts w:ascii="Consolas" w:eastAsia="Arial Unicode MS" w:hAnsi="Consolas" w:cs="Arial Unicode MS"/>
          <w:sz w:val="20"/>
          <w:szCs w:val="20"/>
        </w:rPr>
      </w:pPr>
    </w:p>
    <w:p w:rsidR="006F681C" w:rsidRDefault="006F681C" w:rsidP="006F681C">
      <w:pPr>
        <w:pStyle w:val="Prrafodelista"/>
        <w:numPr>
          <w:ilvl w:val="0"/>
          <w:numId w:val="10"/>
        </w:num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sz w:val="20"/>
          <w:szCs w:val="20"/>
        </w:rPr>
        <w:t xml:space="preserve">El comienzo de una contracción se denomina </w:t>
      </w:r>
      <w:r>
        <w:rPr>
          <w:rFonts w:ascii="Consolas" w:eastAsia="Arial Unicode MS" w:hAnsi="Consolas" w:cs="Arial Unicode MS"/>
          <w:b/>
          <w:sz w:val="20"/>
          <w:szCs w:val="20"/>
        </w:rPr>
        <w:t>Cumbre</w:t>
      </w:r>
      <w:r>
        <w:rPr>
          <w:rFonts w:ascii="Consolas" w:eastAsia="Arial Unicode MS" w:hAnsi="Consolas" w:cs="Arial Unicode MS"/>
          <w:sz w:val="20"/>
          <w:szCs w:val="20"/>
        </w:rPr>
        <w:t>. Representa el punto máximo de la actividad económica previa a una contracción.</w:t>
      </w:r>
    </w:p>
    <w:p w:rsidR="006F681C" w:rsidRDefault="006F681C" w:rsidP="006F681C">
      <w:pPr>
        <w:pStyle w:val="Prrafodelista"/>
        <w:numPr>
          <w:ilvl w:val="0"/>
          <w:numId w:val="10"/>
        </w:num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sz w:val="20"/>
          <w:szCs w:val="20"/>
        </w:rPr>
        <w:t xml:space="preserve">El fin de una contracción se denomina </w:t>
      </w:r>
      <w:r>
        <w:rPr>
          <w:rFonts w:ascii="Consolas" w:eastAsia="Arial Unicode MS" w:hAnsi="Consolas" w:cs="Arial Unicode MS"/>
          <w:b/>
          <w:sz w:val="20"/>
          <w:szCs w:val="20"/>
        </w:rPr>
        <w:t>Valle</w:t>
      </w:r>
      <w:r>
        <w:rPr>
          <w:rFonts w:ascii="Consolas" w:eastAsia="Arial Unicode MS" w:hAnsi="Consolas" w:cs="Arial Unicode MS"/>
          <w:sz w:val="20"/>
          <w:szCs w:val="20"/>
        </w:rPr>
        <w:t xml:space="preserve">. Representa el punto </w:t>
      </w:r>
      <w:r w:rsidR="00683A60">
        <w:rPr>
          <w:rFonts w:ascii="Consolas" w:eastAsia="Arial Unicode MS" w:hAnsi="Consolas" w:cs="Arial Unicode MS"/>
          <w:sz w:val="20"/>
          <w:szCs w:val="20"/>
        </w:rPr>
        <w:t>mínimo</w:t>
      </w:r>
      <w:r>
        <w:rPr>
          <w:rFonts w:ascii="Consolas" w:eastAsia="Arial Unicode MS" w:hAnsi="Consolas" w:cs="Arial Unicode MS"/>
          <w:sz w:val="20"/>
          <w:szCs w:val="20"/>
        </w:rPr>
        <w:t xml:space="preserve"> de la actividad económica previo a una recuperación.</w:t>
      </w:r>
    </w:p>
    <w:p w:rsidR="00683A60" w:rsidRDefault="00683A60" w:rsidP="00683A60">
      <w:pPr>
        <w:rPr>
          <w:rFonts w:ascii="Consolas" w:eastAsia="Arial Unicode MS" w:hAnsi="Consolas" w:cs="Arial Unicode MS"/>
          <w:sz w:val="20"/>
          <w:szCs w:val="20"/>
        </w:rPr>
      </w:pPr>
    </w:p>
    <w:p w:rsidR="00683A60" w:rsidRDefault="00683A60" w:rsidP="00683A60">
      <w:p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sz w:val="20"/>
          <w:szCs w:val="20"/>
        </w:rPr>
        <w:t>Las fluctuaciones económicas a corto plazo son de duración y gravedad irregulares, y difíciles de predecir.</w:t>
      </w:r>
    </w:p>
    <w:p w:rsidR="00683A60" w:rsidRDefault="00683A60" w:rsidP="00683A60">
      <w:p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sz w:val="20"/>
          <w:szCs w:val="20"/>
        </w:rPr>
        <w:t xml:space="preserve">Las </w:t>
      </w:r>
      <w:r w:rsidR="00037CA6">
        <w:rPr>
          <w:rFonts w:ascii="Consolas" w:eastAsia="Arial Unicode MS" w:hAnsi="Consolas" w:cs="Arial Unicode MS"/>
          <w:b/>
          <w:sz w:val="20"/>
          <w:szCs w:val="20"/>
        </w:rPr>
        <w:t>Expansiones</w:t>
      </w:r>
      <w:r>
        <w:rPr>
          <w:rFonts w:ascii="Consolas" w:eastAsia="Arial Unicode MS" w:hAnsi="Consolas" w:cs="Arial Unicode MS"/>
          <w:b/>
          <w:sz w:val="20"/>
          <w:szCs w:val="20"/>
        </w:rPr>
        <w:t xml:space="preserve"> </w:t>
      </w:r>
      <w:r>
        <w:rPr>
          <w:rFonts w:ascii="Consolas" w:eastAsia="Arial Unicode MS" w:hAnsi="Consolas" w:cs="Arial Unicode MS"/>
          <w:sz w:val="20"/>
          <w:szCs w:val="20"/>
        </w:rPr>
        <w:t xml:space="preserve">y las </w:t>
      </w:r>
      <w:r>
        <w:rPr>
          <w:rFonts w:ascii="Consolas" w:eastAsia="Arial Unicode MS" w:hAnsi="Consolas" w:cs="Arial Unicode MS"/>
          <w:b/>
          <w:sz w:val="20"/>
          <w:szCs w:val="20"/>
        </w:rPr>
        <w:t>Contracciones</w:t>
      </w:r>
      <w:r>
        <w:rPr>
          <w:rFonts w:ascii="Consolas" w:eastAsia="Arial Unicode MS" w:hAnsi="Consolas" w:cs="Arial Unicode MS"/>
          <w:sz w:val="20"/>
          <w:szCs w:val="20"/>
        </w:rPr>
        <w:t xml:space="preserve"> se dejan sentir en toda la economía y pueden ser de alcance internacional.</w:t>
      </w:r>
    </w:p>
    <w:p w:rsidR="00F30EF6" w:rsidRDefault="00F30EF6" w:rsidP="00683A60">
      <w:p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sz w:val="20"/>
          <w:szCs w:val="20"/>
        </w:rPr>
        <w:t xml:space="preserve">Durante las </w:t>
      </w:r>
      <w:r>
        <w:rPr>
          <w:rFonts w:ascii="Consolas" w:eastAsia="Arial Unicode MS" w:hAnsi="Consolas" w:cs="Arial Unicode MS"/>
          <w:b/>
          <w:sz w:val="20"/>
          <w:szCs w:val="20"/>
        </w:rPr>
        <w:t>Contracciones</w:t>
      </w:r>
      <w:r>
        <w:rPr>
          <w:rFonts w:ascii="Consolas" w:eastAsia="Arial Unicode MS" w:hAnsi="Consolas" w:cs="Arial Unicode MS"/>
          <w:sz w:val="20"/>
          <w:szCs w:val="20"/>
        </w:rPr>
        <w:t>, el desempleo aumenta, mientras que las inflaciones tienden a disminuir.</w:t>
      </w:r>
    </w:p>
    <w:p w:rsidR="005C19B8" w:rsidRDefault="005C19B8" w:rsidP="00683A60">
      <w:pPr>
        <w:rPr>
          <w:rFonts w:ascii="Consolas" w:eastAsia="Arial Unicode MS" w:hAnsi="Consolas" w:cs="Arial Unicode MS"/>
          <w:sz w:val="20"/>
          <w:szCs w:val="20"/>
        </w:rPr>
      </w:pPr>
    </w:p>
    <w:p w:rsidR="005C19B8" w:rsidRDefault="005C19B8" w:rsidP="00683A60">
      <w:p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sz w:val="20"/>
          <w:szCs w:val="20"/>
          <w:u w:val="single"/>
        </w:rPr>
        <w:t>PRODUCCION POTENCIAL O PRODUCCION DE PLENO EMPLEO:</w:t>
      </w:r>
    </w:p>
    <w:p w:rsidR="005C19B8" w:rsidRDefault="005C19B8" w:rsidP="00683A60">
      <w:p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sz w:val="20"/>
          <w:szCs w:val="20"/>
        </w:rPr>
        <w:t>Es la cantidad máxima de producción (PBI real) que puede mantenerse y que puede producir una economía.</w:t>
      </w:r>
    </w:p>
    <w:p w:rsidR="005C19B8" w:rsidRDefault="005C19B8" w:rsidP="00683A60">
      <w:pPr>
        <w:rPr>
          <w:rFonts w:ascii="Consolas" w:eastAsia="Arial Unicode MS" w:hAnsi="Consolas" w:cs="Arial Unicode MS"/>
          <w:sz w:val="20"/>
          <w:szCs w:val="20"/>
        </w:rPr>
      </w:pPr>
    </w:p>
    <w:p w:rsidR="005C19B8" w:rsidRDefault="005C19B8" w:rsidP="00683A60">
      <w:p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sz w:val="20"/>
          <w:szCs w:val="20"/>
        </w:rPr>
        <w:t xml:space="preserve">La diferencia entre la producción potencial y la efectiva, se denomina </w:t>
      </w:r>
      <w:r>
        <w:rPr>
          <w:rFonts w:ascii="Consolas" w:eastAsia="Arial Unicode MS" w:hAnsi="Consolas" w:cs="Arial Unicode MS"/>
          <w:b/>
          <w:sz w:val="20"/>
          <w:szCs w:val="20"/>
        </w:rPr>
        <w:t>Brecha de producción</w:t>
      </w:r>
      <w:r>
        <w:rPr>
          <w:rFonts w:ascii="Consolas" w:eastAsia="Arial Unicode MS" w:hAnsi="Consolas" w:cs="Arial Unicode MS"/>
          <w:sz w:val="20"/>
          <w:szCs w:val="20"/>
        </w:rPr>
        <w:t>.</w:t>
      </w:r>
    </w:p>
    <w:p w:rsidR="005C19B8" w:rsidRDefault="005C19B8" w:rsidP="00683A60">
      <w:pPr>
        <w:rPr>
          <w:rFonts w:ascii="Consolas" w:eastAsia="Arial Unicode MS" w:hAnsi="Consolas" w:cs="Arial Unicode MS"/>
          <w:sz w:val="20"/>
          <w:szCs w:val="20"/>
        </w:rPr>
      </w:pPr>
    </w:p>
    <w:p w:rsidR="005C19B8" w:rsidRPr="005C19B8" w:rsidRDefault="005C19B8" w:rsidP="005C19B8">
      <w:pPr>
        <w:pStyle w:val="Prrafodelista"/>
        <w:numPr>
          <w:ilvl w:val="0"/>
          <w:numId w:val="11"/>
        </w:num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sz w:val="20"/>
          <w:szCs w:val="20"/>
        </w:rPr>
        <w:t xml:space="preserve">Producción inferior a la potencial </w:t>
      </w:r>
      <w:r w:rsidRPr="005C19B8">
        <w:rPr>
          <w:rFonts w:ascii="Consolas" w:eastAsia="Arial Unicode MS" w:hAnsi="Consolas" w:cs="Arial Unicode MS"/>
          <w:sz w:val="20"/>
          <w:szCs w:val="20"/>
        </w:rPr>
        <w:sym w:font="Wingdings" w:char="F0E0"/>
      </w:r>
      <w:r>
        <w:rPr>
          <w:rFonts w:ascii="Consolas" w:eastAsia="Arial Unicode MS" w:hAnsi="Consolas" w:cs="Arial Unicode MS"/>
          <w:sz w:val="20"/>
          <w:szCs w:val="20"/>
        </w:rPr>
        <w:t xml:space="preserve"> </w:t>
      </w:r>
      <w:r>
        <w:rPr>
          <w:rFonts w:ascii="Consolas" w:eastAsia="Arial Unicode MS" w:hAnsi="Consolas" w:cs="Arial Unicode MS"/>
          <w:b/>
          <w:sz w:val="20"/>
          <w:szCs w:val="20"/>
        </w:rPr>
        <w:t>Brecha contractiva</w:t>
      </w:r>
    </w:p>
    <w:p w:rsidR="005C19B8" w:rsidRPr="00B561BA" w:rsidRDefault="00643BD9" w:rsidP="005C19B8">
      <w:pPr>
        <w:pStyle w:val="Prrafodelista"/>
        <w:numPr>
          <w:ilvl w:val="0"/>
          <w:numId w:val="11"/>
        </w:num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sz w:val="20"/>
          <w:szCs w:val="20"/>
        </w:rPr>
        <w:t>Producción</w:t>
      </w:r>
      <w:r w:rsidR="005C19B8">
        <w:rPr>
          <w:rFonts w:ascii="Consolas" w:eastAsia="Arial Unicode MS" w:hAnsi="Consolas" w:cs="Arial Unicode MS"/>
          <w:sz w:val="20"/>
          <w:szCs w:val="20"/>
        </w:rPr>
        <w:t xml:space="preserve"> superior a la potencial </w:t>
      </w:r>
      <w:r w:rsidR="005C19B8" w:rsidRPr="005C19B8">
        <w:rPr>
          <w:rFonts w:ascii="Consolas" w:eastAsia="Arial Unicode MS" w:hAnsi="Consolas" w:cs="Arial Unicode MS"/>
          <w:sz w:val="20"/>
          <w:szCs w:val="20"/>
        </w:rPr>
        <w:sym w:font="Wingdings" w:char="F0E0"/>
      </w:r>
      <w:r w:rsidR="005C19B8">
        <w:rPr>
          <w:rFonts w:ascii="Consolas" w:eastAsia="Arial Unicode MS" w:hAnsi="Consolas" w:cs="Arial Unicode MS"/>
          <w:sz w:val="20"/>
          <w:szCs w:val="20"/>
        </w:rPr>
        <w:t xml:space="preserve"> </w:t>
      </w:r>
      <w:r w:rsidR="005C19B8">
        <w:rPr>
          <w:rFonts w:ascii="Consolas" w:eastAsia="Arial Unicode MS" w:hAnsi="Consolas" w:cs="Arial Unicode MS"/>
          <w:b/>
          <w:sz w:val="20"/>
          <w:szCs w:val="20"/>
        </w:rPr>
        <w:t>Brecha expansiva</w:t>
      </w:r>
    </w:p>
    <w:p w:rsidR="00B561BA" w:rsidRDefault="00B561BA" w:rsidP="00B561BA">
      <w:pPr>
        <w:rPr>
          <w:rFonts w:ascii="Consolas" w:eastAsia="Arial Unicode MS" w:hAnsi="Consolas" w:cs="Arial Unicode MS"/>
          <w:sz w:val="20"/>
          <w:szCs w:val="20"/>
        </w:rPr>
      </w:pPr>
    </w:p>
    <w:p w:rsidR="00B561BA" w:rsidRDefault="00B561BA" w:rsidP="00B561BA">
      <w:p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sz w:val="20"/>
          <w:szCs w:val="20"/>
        </w:rPr>
        <w:t>Las contracciones se producen porque la producción potencial crece a un ritmo excepcionalmente lento, o porque la producción efectiva es inferior a la potencial.</w:t>
      </w:r>
    </w:p>
    <w:p w:rsidR="0070591E" w:rsidRDefault="0070591E" w:rsidP="00B561BA">
      <w:pPr>
        <w:rPr>
          <w:rFonts w:ascii="Consolas" w:eastAsia="Arial Unicode MS" w:hAnsi="Consolas" w:cs="Arial Unicode MS"/>
          <w:sz w:val="20"/>
          <w:szCs w:val="20"/>
        </w:rPr>
      </w:pPr>
    </w:p>
    <w:p w:rsidR="0070591E" w:rsidRDefault="0070591E" w:rsidP="00B561BA">
      <w:p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sz w:val="20"/>
          <w:szCs w:val="20"/>
        </w:rPr>
        <w:t>Como las brechas contractivas representan recursos despilfarrados y las brechas expansivas amenazan con crear inflación, los responsables de la política económica tienen un incentivo para tratar de eliminar ambos tipos de brechas.</w:t>
      </w:r>
    </w:p>
    <w:p w:rsidR="00C74D3D" w:rsidRDefault="00C74D3D" w:rsidP="00B561BA">
      <w:pPr>
        <w:rPr>
          <w:rFonts w:ascii="Consolas" w:eastAsia="Arial Unicode MS" w:hAnsi="Consolas" w:cs="Arial Unicode MS"/>
          <w:sz w:val="20"/>
          <w:szCs w:val="20"/>
        </w:rPr>
      </w:pPr>
    </w:p>
    <w:p w:rsidR="00C74D3D" w:rsidRDefault="00C74D3D" w:rsidP="00B561BA">
      <w:p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sz w:val="20"/>
          <w:szCs w:val="20"/>
          <w:u w:val="single"/>
        </w:rPr>
        <w:t>TASA NATURAL DE DESEMPLEO:</w:t>
      </w:r>
    </w:p>
    <w:p w:rsidR="00C74D3D" w:rsidRDefault="002F2610" w:rsidP="00B561BA">
      <w:p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sz w:val="20"/>
          <w:szCs w:val="20"/>
        </w:rPr>
        <w:t>Es la parte de la tasa total de desempleo que es atribuible al desempleo friccional y estructural.</w:t>
      </w:r>
    </w:p>
    <w:p w:rsidR="002F2610" w:rsidRDefault="002F2610" w:rsidP="00B561BA">
      <w:p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sz w:val="20"/>
          <w:szCs w:val="20"/>
        </w:rPr>
        <w:t>Es la tasa de desempleo que se produce cuando la brecha de producción es cero.</w:t>
      </w:r>
    </w:p>
    <w:p w:rsidR="00154A8F" w:rsidRDefault="00154A8F" w:rsidP="00B561BA">
      <w:pPr>
        <w:rPr>
          <w:rFonts w:ascii="Consolas" w:eastAsia="Arial Unicode MS" w:hAnsi="Consolas" w:cs="Arial Unicode MS"/>
          <w:sz w:val="20"/>
          <w:szCs w:val="20"/>
        </w:rPr>
      </w:pPr>
    </w:p>
    <w:p w:rsidR="00154A8F" w:rsidRPr="00DF6866" w:rsidRDefault="00154A8F" w:rsidP="00DF6866">
      <w:pPr>
        <w:jc w:val="center"/>
        <w:rPr>
          <w:rFonts w:ascii="Consolas" w:eastAsia="Arial Unicode MS" w:hAnsi="Consolas" w:cs="Arial Unicode MS"/>
          <w:b/>
          <w:i/>
          <w:sz w:val="20"/>
          <w:szCs w:val="20"/>
        </w:rPr>
      </w:pPr>
      <w:r w:rsidRPr="00DF6866">
        <w:rPr>
          <w:rFonts w:ascii="Consolas" w:eastAsia="Arial Unicode MS" w:hAnsi="Consolas" w:cs="Arial Unicode MS"/>
          <w:b/>
          <w:i/>
          <w:sz w:val="20"/>
          <w:szCs w:val="20"/>
        </w:rPr>
        <w:t>El desempleo cíclico (parte del desempleo relacionada con las contracciones y las expansiones)</w:t>
      </w:r>
      <w:r w:rsidR="009A1D33" w:rsidRPr="00DF6866">
        <w:rPr>
          <w:rFonts w:ascii="Consolas" w:eastAsia="Arial Unicode MS" w:hAnsi="Consolas" w:cs="Arial Unicode MS"/>
          <w:b/>
          <w:i/>
          <w:sz w:val="20"/>
          <w:szCs w:val="20"/>
        </w:rPr>
        <w:t xml:space="preserve"> es igual a la tasa total de desempleo menos la tasa natural de desempleo.</w:t>
      </w:r>
    </w:p>
    <w:p w:rsidR="009A1D33" w:rsidRDefault="009A1D33" w:rsidP="00B561BA">
      <w:pPr>
        <w:rPr>
          <w:rFonts w:ascii="Consolas" w:eastAsia="Arial Unicode MS" w:hAnsi="Consolas" w:cs="Arial Unicode MS"/>
          <w:sz w:val="20"/>
          <w:szCs w:val="20"/>
        </w:rPr>
      </w:pPr>
    </w:p>
    <w:p w:rsidR="00DF6866" w:rsidRPr="00DF6866" w:rsidRDefault="00DF6866" w:rsidP="00B561BA">
      <w:p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sz w:val="20"/>
          <w:szCs w:val="20"/>
        </w:rPr>
        <w:t xml:space="preserve">El desempleo cíclico esta relacionado con la brecha de producción por medio de la ley de </w:t>
      </w:r>
      <w:r>
        <w:rPr>
          <w:rFonts w:ascii="Consolas" w:eastAsia="Arial Unicode MS" w:hAnsi="Consolas" w:cs="Arial Unicode MS"/>
          <w:b/>
          <w:sz w:val="20"/>
          <w:szCs w:val="20"/>
        </w:rPr>
        <w:t>Okun</w:t>
      </w:r>
      <w:r>
        <w:rPr>
          <w:rFonts w:ascii="Consolas" w:eastAsia="Arial Unicode MS" w:hAnsi="Consolas" w:cs="Arial Unicode MS"/>
          <w:sz w:val="20"/>
          <w:szCs w:val="20"/>
        </w:rPr>
        <w:t xml:space="preserve">, según la cual, cada punto porcentual adicional de desempleo </w:t>
      </w:r>
      <w:r w:rsidR="00184E84">
        <w:rPr>
          <w:rFonts w:ascii="Consolas" w:eastAsia="Arial Unicode MS" w:hAnsi="Consolas" w:cs="Arial Unicode MS"/>
          <w:sz w:val="20"/>
          <w:szCs w:val="20"/>
        </w:rPr>
        <w:t>cíclico</w:t>
      </w:r>
      <w:r>
        <w:rPr>
          <w:rFonts w:ascii="Consolas" w:eastAsia="Arial Unicode MS" w:hAnsi="Consolas" w:cs="Arial Unicode MS"/>
          <w:sz w:val="20"/>
          <w:szCs w:val="20"/>
        </w:rPr>
        <w:t xml:space="preserve"> va acompañado de un aumento de la brecha de la producción.</w:t>
      </w:r>
    </w:p>
    <w:sectPr w:rsidR="00DF6866" w:rsidRPr="00DF6866" w:rsidSect="00EC1FBA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2504" w:rsidRDefault="003E2504" w:rsidP="00070E8A">
      <w:pPr>
        <w:spacing w:line="240" w:lineRule="auto"/>
      </w:pPr>
      <w:r>
        <w:separator/>
      </w:r>
    </w:p>
  </w:endnote>
  <w:endnote w:type="continuationSeparator" w:id="1">
    <w:p w:rsidR="003E2504" w:rsidRDefault="003E2504" w:rsidP="00070E8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78118"/>
      <w:docPartObj>
        <w:docPartGallery w:val="Page Numbers (Bottom of Page)"/>
        <w:docPartUnique/>
      </w:docPartObj>
    </w:sdtPr>
    <w:sdtContent>
      <w:p w:rsidR="00070E8A" w:rsidRDefault="00F74958">
        <w:pPr>
          <w:pStyle w:val="Piedepgina"/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2504" w:rsidRDefault="003E2504" w:rsidP="00070E8A">
      <w:pPr>
        <w:spacing w:line="240" w:lineRule="auto"/>
      </w:pPr>
      <w:r>
        <w:separator/>
      </w:r>
    </w:p>
  </w:footnote>
  <w:footnote w:type="continuationSeparator" w:id="1">
    <w:p w:rsidR="003E2504" w:rsidRDefault="003E2504" w:rsidP="00070E8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11E6C"/>
    <w:multiLevelType w:val="hybridMultilevel"/>
    <w:tmpl w:val="151C366E"/>
    <w:lvl w:ilvl="0" w:tplc="FF701B48">
      <w:numFmt w:val="bullet"/>
      <w:lvlText w:val="-"/>
      <w:lvlJc w:val="left"/>
      <w:pPr>
        <w:ind w:left="720" w:hanging="360"/>
      </w:pPr>
      <w:rPr>
        <w:rFonts w:ascii="Consolas" w:eastAsia="Arial Unicode MS" w:hAnsi="Consolas" w:cs="Arial Unicode M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A0377A"/>
    <w:multiLevelType w:val="hybridMultilevel"/>
    <w:tmpl w:val="27FE7D7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5954E5"/>
    <w:multiLevelType w:val="hybridMultilevel"/>
    <w:tmpl w:val="32AAF2C0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8B2346"/>
    <w:multiLevelType w:val="hybridMultilevel"/>
    <w:tmpl w:val="BCF69954"/>
    <w:lvl w:ilvl="0" w:tplc="12325BF8">
      <w:numFmt w:val="bullet"/>
      <w:lvlText w:val="-"/>
      <w:lvlJc w:val="left"/>
      <w:pPr>
        <w:ind w:left="720" w:hanging="360"/>
      </w:pPr>
      <w:rPr>
        <w:rFonts w:ascii="Consolas" w:eastAsia="Arial Unicode MS" w:hAnsi="Consolas" w:cs="Arial Unicode M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9A2D77"/>
    <w:multiLevelType w:val="hybridMultilevel"/>
    <w:tmpl w:val="CC8E1A20"/>
    <w:lvl w:ilvl="0" w:tplc="10C4B09C">
      <w:start w:val="1"/>
      <w:numFmt w:val="bullet"/>
      <w:lvlText w:val=""/>
      <w:lvlJc w:val="left"/>
      <w:pPr>
        <w:ind w:left="720" w:hanging="360"/>
      </w:pPr>
      <w:rPr>
        <w:rFonts w:ascii="Wingdings" w:eastAsia="Arial Unicode MS" w:hAnsi="Wingdings" w:cs="Arial Unicode M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59394B"/>
    <w:multiLevelType w:val="hybridMultilevel"/>
    <w:tmpl w:val="7F00BB9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6002BB"/>
    <w:multiLevelType w:val="hybridMultilevel"/>
    <w:tmpl w:val="F8D82D2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4F6E6C"/>
    <w:multiLevelType w:val="hybridMultilevel"/>
    <w:tmpl w:val="DC9E1C2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6C1D81"/>
    <w:multiLevelType w:val="hybridMultilevel"/>
    <w:tmpl w:val="313C52F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484497"/>
    <w:multiLevelType w:val="hybridMultilevel"/>
    <w:tmpl w:val="18A03544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A5142DC"/>
    <w:multiLevelType w:val="hybridMultilevel"/>
    <w:tmpl w:val="0E7E499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10"/>
  </w:num>
  <w:num w:numId="8">
    <w:abstractNumId w:val="7"/>
  </w:num>
  <w:num w:numId="9">
    <w:abstractNumId w:val="3"/>
  </w:num>
  <w:num w:numId="10">
    <w:abstractNumId w:val="1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9458">
      <o:colormenu v:ext="edit" fillcolor="none" strokecolor="none [3213]"/>
    </o:shapedefaults>
  </w:hdrShapeDefaults>
  <w:footnotePr>
    <w:footnote w:id="0"/>
    <w:footnote w:id="1"/>
  </w:footnotePr>
  <w:endnotePr>
    <w:endnote w:id="0"/>
    <w:endnote w:id="1"/>
  </w:endnotePr>
  <w:compat/>
  <w:rsids>
    <w:rsidRoot w:val="00C32A28"/>
    <w:rsid w:val="0003326C"/>
    <w:rsid w:val="00037AE8"/>
    <w:rsid w:val="00037CA6"/>
    <w:rsid w:val="00045212"/>
    <w:rsid w:val="00070E8A"/>
    <w:rsid w:val="00074E31"/>
    <w:rsid w:val="00087000"/>
    <w:rsid w:val="00104EBD"/>
    <w:rsid w:val="00113102"/>
    <w:rsid w:val="001310D8"/>
    <w:rsid w:val="00137B9C"/>
    <w:rsid w:val="0014700C"/>
    <w:rsid w:val="00154A8F"/>
    <w:rsid w:val="00161E08"/>
    <w:rsid w:val="0016357D"/>
    <w:rsid w:val="00163D60"/>
    <w:rsid w:val="00184E84"/>
    <w:rsid w:val="00185DBA"/>
    <w:rsid w:val="001A3A6C"/>
    <w:rsid w:val="001F34B4"/>
    <w:rsid w:val="00227E5C"/>
    <w:rsid w:val="00274915"/>
    <w:rsid w:val="002B34FE"/>
    <w:rsid w:val="002E5E77"/>
    <w:rsid w:val="002E5F58"/>
    <w:rsid w:val="002F2610"/>
    <w:rsid w:val="00305271"/>
    <w:rsid w:val="00373D88"/>
    <w:rsid w:val="003B472A"/>
    <w:rsid w:val="003E2504"/>
    <w:rsid w:val="00416975"/>
    <w:rsid w:val="004440E7"/>
    <w:rsid w:val="00484952"/>
    <w:rsid w:val="00495700"/>
    <w:rsid w:val="00525508"/>
    <w:rsid w:val="00555F30"/>
    <w:rsid w:val="005B3EAF"/>
    <w:rsid w:val="005C19B8"/>
    <w:rsid w:val="005E049F"/>
    <w:rsid w:val="005F6365"/>
    <w:rsid w:val="00627480"/>
    <w:rsid w:val="00643AB5"/>
    <w:rsid w:val="00643BD9"/>
    <w:rsid w:val="0068389C"/>
    <w:rsid w:val="00683A60"/>
    <w:rsid w:val="006B548A"/>
    <w:rsid w:val="006C2E71"/>
    <w:rsid w:val="006F54E0"/>
    <w:rsid w:val="006F681C"/>
    <w:rsid w:val="0070591E"/>
    <w:rsid w:val="007452B8"/>
    <w:rsid w:val="00752950"/>
    <w:rsid w:val="00780405"/>
    <w:rsid w:val="007B03E3"/>
    <w:rsid w:val="007C28FC"/>
    <w:rsid w:val="007D171A"/>
    <w:rsid w:val="007F7E2F"/>
    <w:rsid w:val="008A70B6"/>
    <w:rsid w:val="009135B8"/>
    <w:rsid w:val="00965F56"/>
    <w:rsid w:val="009A1D33"/>
    <w:rsid w:val="009C358C"/>
    <w:rsid w:val="00A06C5F"/>
    <w:rsid w:val="00A86949"/>
    <w:rsid w:val="00AA3A8F"/>
    <w:rsid w:val="00AF1B50"/>
    <w:rsid w:val="00B35DA5"/>
    <w:rsid w:val="00B47BCF"/>
    <w:rsid w:val="00B561BA"/>
    <w:rsid w:val="00B744B5"/>
    <w:rsid w:val="00B959C1"/>
    <w:rsid w:val="00BB418B"/>
    <w:rsid w:val="00C039D1"/>
    <w:rsid w:val="00C040A1"/>
    <w:rsid w:val="00C23AB9"/>
    <w:rsid w:val="00C32A28"/>
    <w:rsid w:val="00C74D3D"/>
    <w:rsid w:val="00C86E30"/>
    <w:rsid w:val="00CA3BA5"/>
    <w:rsid w:val="00CB6BA8"/>
    <w:rsid w:val="00D02304"/>
    <w:rsid w:val="00D22A46"/>
    <w:rsid w:val="00D276F2"/>
    <w:rsid w:val="00D33E6B"/>
    <w:rsid w:val="00D44C5C"/>
    <w:rsid w:val="00D64C4B"/>
    <w:rsid w:val="00D977DD"/>
    <w:rsid w:val="00DB4353"/>
    <w:rsid w:val="00DB64E9"/>
    <w:rsid w:val="00DC2F68"/>
    <w:rsid w:val="00DC73CC"/>
    <w:rsid w:val="00DC7546"/>
    <w:rsid w:val="00DF6866"/>
    <w:rsid w:val="00E0071A"/>
    <w:rsid w:val="00E11AD0"/>
    <w:rsid w:val="00E320B1"/>
    <w:rsid w:val="00E33D61"/>
    <w:rsid w:val="00E87972"/>
    <w:rsid w:val="00E9271F"/>
    <w:rsid w:val="00EC1FBA"/>
    <w:rsid w:val="00F249C7"/>
    <w:rsid w:val="00F30EF6"/>
    <w:rsid w:val="00F53357"/>
    <w:rsid w:val="00F74958"/>
    <w:rsid w:val="00FD6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enu v:ext="edit" fillcolor="none" strokecolor="none [3213]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4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A3B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039D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070E8A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70E8A"/>
  </w:style>
  <w:style w:type="paragraph" w:styleId="Piedepgina">
    <w:name w:val="footer"/>
    <w:basedOn w:val="Normal"/>
    <w:link w:val="PiedepginaCar"/>
    <w:uiPriority w:val="99"/>
    <w:unhideWhenUsed/>
    <w:rsid w:val="00070E8A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0E8A"/>
  </w:style>
  <w:style w:type="paragraph" w:styleId="Textodeglobo">
    <w:name w:val="Balloon Text"/>
    <w:basedOn w:val="Normal"/>
    <w:link w:val="TextodegloboCar"/>
    <w:uiPriority w:val="99"/>
    <w:semiHidden/>
    <w:unhideWhenUsed/>
    <w:rsid w:val="000332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32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348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COMPUTADORA</Company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Ignacio</dc:creator>
  <cp:keywords/>
  <dc:description/>
  <cp:lastModifiedBy>Ignacio</cp:lastModifiedBy>
  <cp:revision>93</cp:revision>
  <dcterms:created xsi:type="dcterms:W3CDTF">2011-10-27T17:36:00Z</dcterms:created>
  <dcterms:modified xsi:type="dcterms:W3CDTF">2011-10-31T23:47:00Z</dcterms:modified>
</cp:coreProperties>
</file>